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153856">
      <w:pPr>
        <w:rPr>
          <w:lang w:bidi="fa-IR"/>
        </w:rPr>
      </w:pPr>
      <w:bookmarkStart w:id="0" w:name="OLE_LINK15"/>
      <w:bookmarkStart w:id="1" w:name="OLE_LINK10"/>
      <w:bookmarkStart w:id="2" w:name="OLE_LINK11"/>
      <w:bookmarkStart w:id="3" w:name="OLE_LINK14"/>
    </w:p>
    <w:bookmarkEnd w:id="0"/>
    <w:bookmarkEnd w:id="1"/>
    <w:bookmarkEnd w:id="2"/>
    <w:bookmarkEnd w:id="3"/>
    <w:p w14:paraId="34E70A94" w14:textId="75312C1D" w:rsidR="00B55AB2" w:rsidRPr="00153856" w:rsidRDefault="00170D48" w:rsidP="00170D48">
      <w:pPr>
        <w:pStyle w:val="Title"/>
        <w:rPr>
          <w:rFonts w:cs="Nazanin"/>
          <w:b w:val="0"/>
          <w:bCs w:val="0"/>
          <w:sz w:val="28"/>
        </w:rPr>
      </w:pPr>
      <w:r w:rsidRPr="00170D48">
        <w:rPr>
          <w:sz w:val="28"/>
          <w:szCs w:val="32"/>
        </w:rPr>
        <w:t>Safety Distance Assessment for Vapour Cloud Explosion in the PSA Unit of Abadan Refinery: Comparison of TNT Equivalency, BST, and TNO Multi-Energy Blast Models</w:t>
      </w:r>
      <w:r w:rsidR="00F728DC">
        <w:rPr>
          <w:rFonts w:cs="Nazanin"/>
          <w:b w:val="0"/>
          <w:bCs w:val="0"/>
          <w:sz w:val="28"/>
        </w:rPr>
        <w:br/>
      </w:r>
    </w:p>
    <w:p w14:paraId="1FF790E7" w14:textId="77777777" w:rsidR="00CB67CE" w:rsidRDefault="00CB67CE" w:rsidP="00CB67CE">
      <w:pPr>
        <w:bidi/>
        <w:jc w:val="center"/>
        <w:rPr>
          <w:rFonts w:cs="Nazanin"/>
          <w:b/>
          <w:bCs/>
        </w:rPr>
      </w:pPr>
    </w:p>
    <w:p w14:paraId="65C7EA41" w14:textId="2F9F204B" w:rsidR="00A712F6" w:rsidRPr="00A712F6" w:rsidRDefault="00A712F6" w:rsidP="008670C0">
      <w:pPr>
        <w:jc w:val="center"/>
        <w:rPr>
          <w:b/>
          <w:szCs w:val="16"/>
        </w:rPr>
      </w:pPr>
      <w:r w:rsidRPr="00A712F6">
        <w:rPr>
          <w:b/>
          <w:szCs w:val="16"/>
        </w:rPr>
        <w:t>Seyedeh Atefeh Hosseini</w:t>
      </w:r>
      <w:r w:rsidR="00911F66" w:rsidRPr="00911F66">
        <w:rPr>
          <w:b/>
          <w:szCs w:val="16"/>
          <w:vertAlign w:val="superscript"/>
        </w:rPr>
        <w:t>1</w:t>
      </w:r>
      <w:r w:rsidR="00911F66">
        <w:rPr>
          <w:b/>
          <w:szCs w:val="16"/>
          <w:vertAlign w:val="superscript"/>
        </w:rPr>
        <w:t>*</w:t>
      </w:r>
    </w:p>
    <w:p w14:paraId="70FD0AA5" w14:textId="771960C2" w:rsidR="00747DF5" w:rsidRPr="00A712F6" w:rsidRDefault="00A712F6" w:rsidP="008670C0">
      <w:pPr>
        <w:bidi/>
        <w:jc w:val="center"/>
        <w:rPr>
          <w:rFonts w:cs="Nazanin"/>
          <w:b/>
          <w:bCs/>
          <w:sz w:val="16"/>
          <w:szCs w:val="16"/>
        </w:rPr>
      </w:pPr>
      <w:bookmarkStart w:id="4" w:name="_Hlk219821675"/>
      <w:r w:rsidRPr="00A712F6">
        <w:rPr>
          <w:rFonts w:cs="Nazanin"/>
          <w:b/>
          <w:bCs/>
          <w:sz w:val="16"/>
          <w:szCs w:val="16"/>
        </w:rPr>
        <w:t xml:space="preserve"> </w:t>
      </w:r>
      <w:r w:rsidR="008670C0" w:rsidRPr="008670C0">
        <w:rPr>
          <w:rFonts w:cs="Nazanin"/>
          <w:b/>
          <w:bCs/>
          <w:sz w:val="16"/>
          <w:szCs w:val="16"/>
          <w:lang w:val="en"/>
        </w:rPr>
        <w:t>Shahid Tondgoyan Faculty</w:t>
      </w:r>
      <w:r w:rsidRPr="00A712F6">
        <w:rPr>
          <w:rFonts w:cs="Nazanin"/>
          <w:b/>
          <w:bCs/>
          <w:sz w:val="16"/>
          <w:szCs w:val="16"/>
        </w:rPr>
        <w:t>, Petroleum University of Technology</w:t>
      </w:r>
      <w:r w:rsidRPr="00A712F6">
        <w:rPr>
          <w:rFonts w:cs="Nazanin"/>
          <w:b/>
          <w:bCs/>
          <w:sz w:val="12"/>
          <w:szCs w:val="12"/>
        </w:rPr>
        <w:t>,</w:t>
      </w:r>
      <w:r w:rsidRPr="00A712F6">
        <w:rPr>
          <w:b/>
          <w:bCs/>
          <w:sz w:val="16"/>
          <w:szCs w:val="16"/>
        </w:rPr>
        <w:t xml:space="preserve"> Abadan, Iran</w:t>
      </w:r>
      <w:r w:rsidRPr="00A712F6">
        <w:rPr>
          <w:rFonts w:cs="Nazanin"/>
          <w:b/>
          <w:bCs/>
          <w:sz w:val="12"/>
          <w:szCs w:val="12"/>
        </w:rPr>
        <w:t xml:space="preserve"> </w:t>
      </w:r>
      <w:r w:rsidR="00747DF5" w:rsidRPr="00A712F6">
        <w:rPr>
          <w:rFonts w:cs="Nazanin"/>
          <w:b/>
          <w:bCs/>
          <w:sz w:val="12"/>
          <w:szCs w:val="12"/>
        </w:rPr>
        <w:t xml:space="preserve"> </w:t>
      </w:r>
    </w:p>
    <w:bookmarkEnd w:id="4"/>
    <w:p w14:paraId="62C4A802" w14:textId="18CB8273" w:rsidR="00747DF5" w:rsidRPr="008670C0" w:rsidRDefault="008670C0" w:rsidP="00747DF5">
      <w:pPr>
        <w:bidi/>
        <w:jc w:val="center"/>
        <w:rPr>
          <w:rFonts w:cs="Nazanin"/>
          <w:b/>
          <w:bCs/>
          <w:sz w:val="16"/>
          <w:szCs w:val="16"/>
        </w:rPr>
      </w:pPr>
      <w:r w:rsidRPr="008670C0">
        <w:rPr>
          <w:b/>
          <w:bCs/>
        </w:rPr>
        <w:t>Abdolrahim Taheri</w:t>
      </w:r>
      <w:r w:rsidR="00911F66" w:rsidRPr="00911F66">
        <w:rPr>
          <w:b/>
          <w:bCs/>
          <w:vertAlign w:val="superscript"/>
        </w:rPr>
        <w:t>2</w:t>
      </w:r>
      <w:r w:rsidR="00747DF5" w:rsidRPr="008670C0">
        <w:rPr>
          <w:rFonts w:cs="Nazanin"/>
          <w:b/>
          <w:bCs/>
          <w:sz w:val="16"/>
          <w:szCs w:val="16"/>
          <w:rtl/>
        </w:rPr>
        <w:t xml:space="preserve"> </w:t>
      </w:r>
    </w:p>
    <w:p w14:paraId="7C56CD00" w14:textId="77777777" w:rsidR="008670C0" w:rsidRDefault="008670C0" w:rsidP="008670C0">
      <w:pPr>
        <w:bidi/>
        <w:jc w:val="center"/>
        <w:rPr>
          <w:rFonts w:cs="Nazanin"/>
          <w:b/>
          <w:bCs/>
          <w:sz w:val="12"/>
          <w:szCs w:val="12"/>
        </w:rPr>
      </w:pPr>
      <w:bookmarkStart w:id="5" w:name="_Hlk219822363"/>
      <w:r w:rsidRPr="008670C0">
        <w:rPr>
          <w:rFonts w:cs="Nazanin"/>
          <w:b/>
          <w:bCs/>
          <w:sz w:val="16"/>
          <w:szCs w:val="16"/>
          <w:lang w:val="en"/>
        </w:rPr>
        <w:t>Shahid Tondgoyan Faculty</w:t>
      </w:r>
      <w:r w:rsidRPr="00A712F6">
        <w:rPr>
          <w:rFonts w:cs="Nazanin"/>
          <w:b/>
          <w:bCs/>
          <w:sz w:val="16"/>
          <w:szCs w:val="16"/>
        </w:rPr>
        <w:t>, Petroleum University of Technology</w:t>
      </w:r>
      <w:r w:rsidRPr="00A712F6">
        <w:rPr>
          <w:rFonts w:cs="Nazanin"/>
          <w:b/>
          <w:bCs/>
          <w:sz w:val="12"/>
          <w:szCs w:val="12"/>
        </w:rPr>
        <w:t>,</w:t>
      </w:r>
      <w:r w:rsidRPr="00A712F6">
        <w:rPr>
          <w:b/>
          <w:bCs/>
          <w:sz w:val="16"/>
          <w:szCs w:val="16"/>
        </w:rPr>
        <w:t xml:space="preserve"> Abadan, Iran</w:t>
      </w:r>
      <w:r w:rsidRPr="00A712F6">
        <w:rPr>
          <w:rFonts w:cs="Nazanin"/>
          <w:b/>
          <w:bCs/>
          <w:sz w:val="12"/>
          <w:szCs w:val="12"/>
        </w:rPr>
        <w:t xml:space="preserve">  </w:t>
      </w:r>
    </w:p>
    <w:bookmarkEnd w:id="5"/>
    <w:p w14:paraId="43BBD557" w14:textId="6ADFF4B0" w:rsidR="00911F66" w:rsidRDefault="00911F66" w:rsidP="00911F66">
      <w:pPr>
        <w:jc w:val="center"/>
        <w:rPr>
          <w:b/>
          <w:szCs w:val="16"/>
        </w:rPr>
      </w:pPr>
      <w:r w:rsidRPr="00911F66">
        <w:rPr>
          <w:b/>
          <w:szCs w:val="16"/>
        </w:rPr>
        <w:t>Mohsen Motevassel</w:t>
      </w:r>
      <w:r w:rsidRPr="00911F66">
        <w:rPr>
          <w:b/>
          <w:szCs w:val="16"/>
          <w:vertAlign w:val="superscript"/>
        </w:rPr>
        <w:t>3</w:t>
      </w:r>
    </w:p>
    <w:p w14:paraId="57DB21BC" w14:textId="77777777" w:rsidR="00911F66" w:rsidRDefault="00911F66" w:rsidP="00911F66">
      <w:pPr>
        <w:bidi/>
        <w:jc w:val="center"/>
        <w:rPr>
          <w:rFonts w:cs="Nazanin"/>
          <w:b/>
          <w:bCs/>
          <w:sz w:val="12"/>
          <w:szCs w:val="12"/>
        </w:rPr>
      </w:pPr>
      <w:r w:rsidRPr="008670C0">
        <w:rPr>
          <w:rFonts w:cs="Nazanin"/>
          <w:b/>
          <w:bCs/>
          <w:sz w:val="16"/>
          <w:szCs w:val="16"/>
          <w:lang w:val="en"/>
        </w:rPr>
        <w:t>Shahid Tondgoyan Faculty</w:t>
      </w:r>
      <w:r w:rsidRPr="00A712F6">
        <w:rPr>
          <w:rFonts w:cs="Nazanin"/>
          <w:b/>
          <w:bCs/>
          <w:sz w:val="16"/>
          <w:szCs w:val="16"/>
        </w:rPr>
        <w:t>, Petroleum University of Technology</w:t>
      </w:r>
      <w:r w:rsidRPr="00A712F6">
        <w:rPr>
          <w:rFonts w:cs="Nazanin"/>
          <w:b/>
          <w:bCs/>
          <w:sz w:val="12"/>
          <w:szCs w:val="12"/>
        </w:rPr>
        <w:t>,</w:t>
      </w:r>
      <w:r w:rsidRPr="00A712F6">
        <w:rPr>
          <w:b/>
          <w:bCs/>
          <w:sz w:val="16"/>
          <w:szCs w:val="16"/>
        </w:rPr>
        <w:t xml:space="preserve"> Abadan, Iran</w:t>
      </w:r>
      <w:r w:rsidRPr="00A712F6">
        <w:rPr>
          <w:rFonts w:cs="Nazanin"/>
          <w:b/>
          <w:bCs/>
          <w:sz w:val="12"/>
          <w:szCs w:val="12"/>
        </w:rPr>
        <w:t xml:space="preserve">  </w:t>
      </w:r>
    </w:p>
    <w:p w14:paraId="516EF40A" w14:textId="2AD787AB" w:rsidR="00911F66" w:rsidRDefault="00911F66" w:rsidP="00911F66">
      <w:pPr>
        <w:jc w:val="center"/>
        <w:rPr>
          <w:b/>
          <w:szCs w:val="16"/>
        </w:rPr>
      </w:pPr>
      <w:r w:rsidRPr="00911F66">
        <w:rPr>
          <w:b/>
          <w:szCs w:val="16"/>
        </w:rPr>
        <w:t>Alireza Jafari</w:t>
      </w:r>
      <w:r w:rsidRPr="00911F66">
        <w:rPr>
          <w:b/>
          <w:szCs w:val="16"/>
          <w:vertAlign w:val="superscript"/>
        </w:rPr>
        <w:t>4</w:t>
      </w:r>
    </w:p>
    <w:p w14:paraId="6F9D812F" w14:textId="2ECABE9F" w:rsidR="00911F66" w:rsidRDefault="00911F66" w:rsidP="00911F66">
      <w:pPr>
        <w:jc w:val="center"/>
        <w:rPr>
          <w:rFonts w:eastAsia="Calibri"/>
          <w:b/>
          <w:bCs/>
          <w:kern w:val="2"/>
          <w:sz w:val="16"/>
          <w:szCs w:val="16"/>
          <w:rtl/>
          <w:lang w:bidi="fa-IR"/>
        </w:rPr>
      </w:pPr>
      <w:r w:rsidRPr="00911F66">
        <w:rPr>
          <w:rFonts w:eastAsia="Calibri"/>
          <w:b/>
          <w:bCs/>
          <w:kern w:val="2"/>
          <w:sz w:val="16"/>
          <w:szCs w:val="16"/>
          <w:lang w:bidi="fa-IR"/>
        </w:rPr>
        <w:t>Abadan Oil Refining Company,</w:t>
      </w:r>
      <w:r w:rsidRPr="00911F66">
        <w:rPr>
          <w:b/>
          <w:bCs/>
          <w:sz w:val="16"/>
          <w:szCs w:val="16"/>
        </w:rPr>
        <w:t xml:space="preserve"> </w:t>
      </w:r>
      <w:r w:rsidRPr="00911F66">
        <w:rPr>
          <w:rFonts w:eastAsia="Calibri"/>
          <w:b/>
          <w:bCs/>
          <w:kern w:val="2"/>
          <w:sz w:val="16"/>
          <w:szCs w:val="16"/>
          <w:lang w:bidi="fa-IR"/>
        </w:rPr>
        <w:t>Abadan, Iran</w:t>
      </w:r>
    </w:p>
    <w:p w14:paraId="706BBCB7" w14:textId="77777777" w:rsidR="00153856" w:rsidRPr="00911F66" w:rsidRDefault="00153856" w:rsidP="00911F66">
      <w:pPr>
        <w:jc w:val="center"/>
        <w:rPr>
          <w:b/>
          <w:szCs w:val="16"/>
        </w:rPr>
      </w:pPr>
    </w:p>
    <w:p w14:paraId="777EB59F" w14:textId="77777777" w:rsidR="00F728DC" w:rsidRDefault="00F728DC" w:rsidP="009F465B"/>
    <w:p w14:paraId="530A8E72" w14:textId="77777777" w:rsidR="00B55AB2" w:rsidRPr="00443B4C" w:rsidRDefault="0016451D" w:rsidP="009F2CBC">
      <w:pPr>
        <w:ind w:left="567"/>
        <w:jc w:val="both"/>
        <w:rPr>
          <w:b/>
          <w:bCs/>
          <w:sz w:val="24"/>
          <w:szCs w:val="24"/>
        </w:rPr>
      </w:pPr>
      <w:r w:rsidRPr="00443B4C">
        <w:rPr>
          <w:b/>
          <w:bCs/>
          <w:sz w:val="24"/>
          <w:szCs w:val="24"/>
        </w:rPr>
        <w:t>Abstract</w:t>
      </w:r>
    </w:p>
    <w:p w14:paraId="5E990B77" w14:textId="16DE51A7" w:rsidR="009D33EC" w:rsidRDefault="009D33EC" w:rsidP="009F2CBC">
      <w:pPr>
        <w:ind w:left="567" w:right="567"/>
        <w:jc w:val="both"/>
        <w:rPr>
          <w:rtl/>
        </w:rPr>
      </w:pPr>
      <w:bookmarkStart w:id="6" w:name="OLE_LINK8"/>
      <w:bookmarkStart w:id="7" w:name="OLE_LINK9"/>
      <w:r>
        <w:t>Vapour cloud explosion (VCE) modelling plays a critical role in defining safety distances for congested</w:t>
      </w:r>
    </w:p>
    <w:p w14:paraId="7668DAC8" w14:textId="0A2C3FD2" w:rsidR="00273820" w:rsidRDefault="009D33EC" w:rsidP="009F2CBC">
      <w:pPr>
        <w:ind w:left="567" w:right="567"/>
        <w:jc w:val="both"/>
        <w:rPr>
          <w:rFonts w:cs="Nazanin"/>
          <w:b/>
          <w:bCs/>
          <w:sz w:val="28"/>
          <w:szCs w:val="32"/>
          <w:rtl/>
          <w:lang w:bidi="fa-IR"/>
        </w:rPr>
      </w:pPr>
      <w:r>
        <w:t>gas-processing units, yet predicted consequences remain highly sensitive to the selected blast model. This study presents a consequence-based safety distance assessment for a hydrogen PSA unit at Abadan Refinery using PHAST 8.4, comparing three widely applied approaches: TNT equivalency, Baker–Strehlow–Tang (BST), and TNO Multi-Energy (ME). Representative loss-of-containment scenarios were simulated to estimate flammable cloud formation (tracked at the mixture LFL of 5.1 vol% ≈ 51,000 ppm) and subsequent VCE overpressure footprints. Safety distances were interpreted according to GS EP SAF 253 fire-zone criteria, with 200 mbar (0.2 bar) adopted as the governing explosion threshold.</w:t>
      </w:r>
      <w:r>
        <w:br/>
        <w:t>Results demonstrate pronounced model dependence. For the 20 mm leak case, the 0.2 bar radius varied from 1.72 m (ME) to 3.84 m (BST), while TNT predictions ranged from 0.88 to 1.89 m depending on the assumed yield (1–10%). Divergence increased at lower overpressure levels relevant to escalation and siting decisions. The findings highlight the limitations of unqualified TNT use and support an envelope-based approach for safety distance definition, in which model assumptions are reported transparently and conservative distances are selected consistent with congestion, confinement, and applicable standards.</w:t>
      </w:r>
    </w:p>
    <w:p w14:paraId="2F9E1C40" w14:textId="77777777" w:rsidR="00273820" w:rsidRPr="00D14553" w:rsidRDefault="00273820" w:rsidP="00DF0A7C">
      <w:pPr>
        <w:bidi/>
        <w:jc w:val="both"/>
        <w:rPr>
          <w:rFonts w:cs="Nazanin"/>
          <w:b/>
          <w:bCs/>
          <w:sz w:val="28"/>
          <w:szCs w:val="32"/>
          <w:rtl/>
          <w:lang w:bidi="fa-IR"/>
        </w:rPr>
      </w:pPr>
    </w:p>
    <w:p w14:paraId="5FAE84D0" w14:textId="31E5F161" w:rsidR="00D14553" w:rsidRPr="00D14553" w:rsidRDefault="00D26024" w:rsidP="009F2CBC">
      <w:pPr>
        <w:ind w:left="567"/>
        <w:jc w:val="both"/>
        <w:rPr>
          <w:rFonts w:cs="Nazanin"/>
          <w:b/>
          <w:bCs/>
          <w:sz w:val="28"/>
          <w:szCs w:val="32"/>
          <w:rtl/>
          <w:lang w:bidi="fa-IR"/>
        </w:rPr>
      </w:pPr>
      <w:r w:rsidRPr="00443B4C">
        <w:rPr>
          <w:rFonts w:cs="Nazanin"/>
          <w:b/>
          <w:bCs/>
          <w:sz w:val="24"/>
          <w:szCs w:val="24"/>
        </w:rPr>
        <w:t>Keywords</w:t>
      </w:r>
      <w:r w:rsidRPr="00443B4C">
        <w:rPr>
          <w:b/>
          <w:bCs/>
          <w:sz w:val="24"/>
          <w:szCs w:val="24"/>
        </w:rPr>
        <w:t>:</w:t>
      </w:r>
      <w:r w:rsidR="00443B4C">
        <w:rPr>
          <w:rFonts w:hint="cs"/>
          <w:sz w:val="24"/>
          <w:szCs w:val="24"/>
          <w:rtl/>
        </w:rPr>
        <w:t xml:space="preserve"> </w:t>
      </w:r>
      <w:r w:rsidR="00443B4C">
        <w:t>vapour cloud explosion, safety distance, PHAST 8.4, PSA unit, TNT equivalency, BST, TNO</w:t>
      </w:r>
      <w:r w:rsidR="00443B4C" w:rsidRPr="00443B4C">
        <w:t xml:space="preserve"> </w:t>
      </w:r>
      <w:r w:rsidR="00443B4C">
        <w:t>Multi‑Energy, GS EP SAF 253</w:t>
      </w:r>
    </w:p>
    <w:p w14:paraId="5D9D2619" w14:textId="77777777" w:rsidR="000B200C" w:rsidRDefault="000B200C" w:rsidP="00DF0A7C">
      <w:pPr>
        <w:bidi/>
        <w:jc w:val="both"/>
        <w:rPr>
          <w:rFonts w:cs="Nazanin"/>
          <w:b/>
          <w:bCs/>
          <w:sz w:val="28"/>
          <w:szCs w:val="32"/>
          <w:lang w:bidi="fa-IR"/>
        </w:rPr>
      </w:pPr>
    </w:p>
    <w:p w14:paraId="40C4BC43" w14:textId="77777777" w:rsidR="002D79EB" w:rsidRDefault="002D79EB" w:rsidP="00DF0A7C">
      <w:pPr>
        <w:bidi/>
        <w:jc w:val="both"/>
        <w:rPr>
          <w:rFonts w:cs="Nazanin"/>
          <w:b/>
          <w:bCs/>
          <w:sz w:val="28"/>
          <w:szCs w:val="32"/>
          <w:rtl/>
          <w:lang w:bidi="fa-IR"/>
        </w:rPr>
      </w:pPr>
    </w:p>
    <w:p w14:paraId="221EDA3C" w14:textId="77777777" w:rsidR="009F2CBC" w:rsidRDefault="009F2CBC" w:rsidP="009F2CBC">
      <w:pPr>
        <w:bidi/>
        <w:jc w:val="both"/>
        <w:rPr>
          <w:rFonts w:cs="Nazanin"/>
          <w:b/>
          <w:bCs/>
          <w:sz w:val="28"/>
          <w:szCs w:val="32"/>
          <w:rtl/>
          <w:lang w:bidi="fa-IR"/>
        </w:rPr>
      </w:pPr>
    </w:p>
    <w:p w14:paraId="4A856914" w14:textId="77777777" w:rsidR="009F2CBC" w:rsidRDefault="009F2CBC" w:rsidP="009F2CBC">
      <w:pPr>
        <w:bidi/>
        <w:jc w:val="both"/>
        <w:rPr>
          <w:rFonts w:cs="Nazanin"/>
          <w:b/>
          <w:bCs/>
          <w:sz w:val="28"/>
          <w:szCs w:val="32"/>
          <w:rtl/>
          <w:lang w:bidi="fa-IR"/>
        </w:rPr>
      </w:pPr>
    </w:p>
    <w:p w14:paraId="2700293A" w14:textId="77777777" w:rsidR="009F2CBC" w:rsidRDefault="009F2CBC" w:rsidP="009F2CBC">
      <w:pPr>
        <w:bidi/>
        <w:jc w:val="both"/>
        <w:rPr>
          <w:rFonts w:cs="Nazanin"/>
          <w:b/>
          <w:bCs/>
          <w:sz w:val="28"/>
          <w:szCs w:val="32"/>
          <w:lang w:bidi="fa-IR"/>
        </w:rPr>
      </w:pPr>
    </w:p>
    <w:bookmarkEnd w:id="6"/>
    <w:bookmarkEnd w:id="7"/>
    <w:p w14:paraId="732C22D8" w14:textId="6A48DD94" w:rsidR="00E57E50" w:rsidRPr="009D33EC" w:rsidRDefault="00DC01C3" w:rsidP="009F2CBC">
      <w:pPr>
        <w:jc w:val="both"/>
        <w:rPr>
          <w:rFonts w:cs="Nazanin"/>
          <w:b/>
          <w:bCs/>
          <w:sz w:val="22"/>
          <w:szCs w:val="22"/>
          <w:lang w:bidi="fa-IR"/>
        </w:rPr>
      </w:pPr>
      <w:r>
        <w:rPr>
          <w:rFonts w:cs="Nazanin"/>
          <w:b/>
          <w:bCs/>
          <w:sz w:val="22"/>
          <w:szCs w:val="22"/>
          <w:lang w:bidi="fa-IR"/>
        </w:rPr>
        <w:t xml:space="preserve">1. </w:t>
      </w:r>
      <w:r w:rsidR="000B200C" w:rsidRPr="00443B4C">
        <w:rPr>
          <w:rFonts w:cs="Nazanin"/>
          <w:b/>
          <w:bCs/>
          <w:sz w:val="22"/>
          <w:szCs w:val="22"/>
          <w:lang w:bidi="fa-IR"/>
        </w:rPr>
        <w:t>Introduction</w:t>
      </w:r>
    </w:p>
    <w:p w14:paraId="1EFAC4BE" w14:textId="02BD6594" w:rsidR="00130A4E" w:rsidRDefault="00E57E50" w:rsidP="009F2CBC">
      <w:pPr>
        <w:jc w:val="both"/>
        <w:rPr>
          <w:rtl/>
        </w:rPr>
      </w:pPr>
      <w:r>
        <w:t xml:space="preserve">   The PSA (Pressure Swing Adsorption) unit contains pressurised gas inventories and dense equipment layouts that can support the formation of flammable clouds following loss of containment</w:t>
      </w:r>
      <w:r w:rsidR="009C4444">
        <w:t>[</w:t>
      </w:r>
      <w:r w:rsidR="007D3AD8">
        <w:t>1</w:t>
      </w:r>
      <w:r w:rsidR="009C4444">
        <w:t>,</w:t>
      </w:r>
      <w:r w:rsidR="007D3AD8">
        <w:t>4</w:t>
      </w:r>
      <w:r w:rsidR="009C4444">
        <w:t>,</w:t>
      </w:r>
      <w:r w:rsidR="007D3AD8">
        <w:t>12</w:t>
      </w:r>
      <w:r w:rsidR="009C4444">
        <w:t>]</w:t>
      </w:r>
      <w:r>
        <w:t>. If a delayed ignition occurs, rapid flame acceleration may generate damaging overpressures</w:t>
      </w:r>
      <w:r w:rsidR="00130A4E">
        <w:t>[13]</w:t>
      </w:r>
      <w:r>
        <w:t>. For layout screening and emergency planning, practitioners often translate consequence predictions into ‘safety distances’ or ‘fire‑zone’ boundaries</w:t>
      </w:r>
      <w:r w:rsidR="00130A4E">
        <w:t xml:space="preserve"> [3,5]</w:t>
      </w:r>
      <w:r>
        <w:t>. However, predicted distances can vary substantially with the chosen blast model and the assumptions used to represent congestion, confinement, and fuel reactivity</w:t>
      </w:r>
      <w:r w:rsidR="00130A4E">
        <w:t xml:space="preserve"> [6,7]</w:t>
      </w:r>
      <w:r>
        <w:t>.</w:t>
      </w:r>
    </w:p>
    <w:p w14:paraId="3A401263" w14:textId="1FD98B93" w:rsidR="009D33EC" w:rsidRDefault="009D33EC" w:rsidP="009F2CBC">
      <w:pPr>
        <w:jc w:val="both"/>
      </w:pPr>
      <w:r>
        <w:rPr>
          <w:rFonts w:hint="cs"/>
          <w:rtl/>
        </w:rPr>
        <w:t xml:space="preserve">   </w:t>
      </w:r>
      <w:r>
        <w:t>Despite extensive use of TNT, BST, and Multi-Energy models in consequence analysis, limited published work explicitly quantifies their divergence for hydrogen PSA units under identical dispersion and damage criteria</w:t>
      </w:r>
      <w:r w:rsidR="007D3AD8">
        <w:t xml:space="preserve"> [4]</w:t>
      </w:r>
      <w:r>
        <w:t>. This gap complicates model selection for layout screening in existing refineries, where conservative but realistic safety distances are required</w:t>
      </w:r>
      <w:r w:rsidR="007D3AD8">
        <w:t xml:space="preserve"> [1,3,12]</w:t>
      </w:r>
      <w:r>
        <w:t>.</w:t>
      </w:r>
    </w:p>
    <w:p w14:paraId="71BF825A" w14:textId="205A8D1C" w:rsidR="009F465B" w:rsidRDefault="00E57E50" w:rsidP="009F2CBC">
      <w:pPr>
        <w:jc w:val="both"/>
      </w:pPr>
      <w:r>
        <w:t xml:space="preserve">   </w:t>
      </w:r>
      <w:r w:rsidRPr="00E57E50">
        <w:t>This paper develops a consistent modeling workflow in PHAST 8.4 for VCE outcome assessment</w:t>
      </w:r>
      <w:r w:rsidR="007D3AD8">
        <w:t xml:space="preserve"> [2]</w:t>
      </w:r>
      <w:r w:rsidRPr="00E57E50">
        <w:t xml:space="preserve"> and compares (i) TNT equivalent, (ii) Baker-Strehlow-Tang (BST) methods, and (iii) TNO Multi-Energy (ME) methods</w:t>
      </w:r>
      <w:r w:rsidR="007D3AD8">
        <w:t xml:space="preserve"> [6,7,11]</w:t>
      </w:r>
      <w:r w:rsidRPr="00E57E50">
        <w:t>. The output is used to define safety distances according to GS EP SAF 253 criteria</w:t>
      </w:r>
      <w:r w:rsidR="007D3AD8">
        <w:t xml:space="preserve"> [3]</w:t>
      </w:r>
      <w:r w:rsidRPr="00E57E50">
        <w:t>, focusing on an overpressure threshold of 0.2 bar (200 mbar).</w:t>
      </w:r>
    </w:p>
    <w:p w14:paraId="34AB04BE" w14:textId="77777777" w:rsidR="00A33611" w:rsidRDefault="00A33611" w:rsidP="009F2CBC">
      <w:pPr>
        <w:jc w:val="both"/>
      </w:pPr>
    </w:p>
    <w:p w14:paraId="26AFAB49" w14:textId="3C4AD3DB" w:rsidR="004C59EE" w:rsidRDefault="00A33611" w:rsidP="004C59EE">
      <w:pPr>
        <w:jc w:val="both"/>
        <w:rPr>
          <w:rtl/>
        </w:rPr>
      </w:pPr>
      <w:r>
        <w:t xml:space="preserve">   </w:t>
      </w:r>
      <w:r w:rsidRPr="00A33611">
        <w:t>The novelty of this work lies in the consistent comparison of TNT, Baker-Strehlow-Tang, and TNO multi-energy explosion equivalent models for a hydrogen PSA unit under the same dispersion basis and damage criterion. Unlike previous studies, seasonal meteorological data are considered for Abadan, while atmospheric stability is kept constant to isolate seasonal effects. The results are directly interpreted within the GS EP SAF 253 fire zone framework and provide practical guidance for selecting conservative safety distances in dense refinery units.</w:t>
      </w:r>
    </w:p>
    <w:p w14:paraId="7F3B2B1D" w14:textId="77777777" w:rsidR="009F2CBC" w:rsidRDefault="009F2CBC" w:rsidP="009F2CBC">
      <w:pPr>
        <w:jc w:val="both"/>
        <w:rPr>
          <w:rtl/>
        </w:rPr>
      </w:pPr>
    </w:p>
    <w:p w14:paraId="5C62ADC7" w14:textId="3A4B8BB3" w:rsidR="00DC01C3" w:rsidRPr="00DF0A7C" w:rsidRDefault="00DC01C3" w:rsidP="009F2CBC">
      <w:pPr>
        <w:jc w:val="both"/>
        <w:rPr>
          <w:sz w:val="18"/>
          <w:szCs w:val="18"/>
        </w:rPr>
      </w:pPr>
      <w:r w:rsidRPr="00DF0A7C">
        <w:rPr>
          <w:b/>
          <w:sz w:val="22"/>
          <w:szCs w:val="18"/>
        </w:rPr>
        <w:t>2. Case Study and Input Basis</w:t>
      </w:r>
    </w:p>
    <w:p w14:paraId="1949C9D7" w14:textId="2711581A" w:rsidR="00DF0A7C" w:rsidRPr="00DF0A7C" w:rsidRDefault="009F465B" w:rsidP="009F2CBC">
      <w:pPr>
        <w:jc w:val="both"/>
      </w:pPr>
      <w:r>
        <w:t xml:space="preserve">   </w:t>
      </w:r>
      <w:r w:rsidR="00DF0A7C" w:rsidRPr="00DF0A7C">
        <w:t>The case study focuses on the PSA (Pressure Swing Adsorption) unit of Abadan Refinery, Iran. The unit handles hydrogen-rich process gas under pressure and is characterised by relatively congested equipment arrangements typical of hydrogen recovery sections in large refining complexes</w:t>
      </w:r>
      <w:r w:rsidR="009F2CBC" w:rsidRPr="009F2CBC">
        <w:t xml:space="preserve"> </w:t>
      </w:r>
      <w:r w:rsidR="009F2CBC">
        <w:t>[1,12]</w:t>
      </w:r>
      <w:r w:rsidR="00DF0A7C" w:rsidRPr="00DF0A7C">
        <w:t>. The source item considered is a pressurised vessel located approximately 1.5 m above grade. To preserve confidentiality, detailed equipment identifiers are not disclosed; however, the selected scenario is representative of credible loss-of-containment events in PSA service.</w:t>
      </w:r>
    </w:p>
    <w:p w14:paraId="3ED0FBAC" w14:textId="1B3929EE" w:rsidR="00DF0A7C" w:rsidRPr="00DF0A7C" w:rsidRDefault="00DF0A7C" w:rsidP="009F2CBC">
      <w:pPr>
        <w:jc w:val="both"/>
      </w:pPr>
      <w:r>
        <w:rPr>
          <w:rFonts w:hint="cs"/>
          <w:rtl/>
        </w:rPr>
        <w:t xml:space="preserve">   </w:t>
      </w:r>
      <w:r w:rsidRPr="00DF0A7C">
        <w:t>Leak scenarios were defined to represent credible release sizes commonly used for consequence and risk screening, corresponding to equivalent circular hole diameters of 20, 50, and 80 mm [8]. For dispersion and fire-zone screening purposes, the effective release height was taken as 1 m above grade, consistent with standard assumptions for horizontal or impacted gas jets.</w:t>
      </w:r>
    </w:p>
    <w:p w14:paraId="7253C2A8" w14:textId="09313E5D" w:rsidR="00DF0A7C" w:rsidRDefault="00DF0A7C" w:rsidP="009F2CBC">
      <w:pPr>
        <w:jc w:val="both"/>
        <w:rPr>
          <w:rtl/>
        </w:rPr>
      </w:pPr>
      <w:r>
        <w:rPr>
          <w:rFonts w:hint="cs"/>
          <w:rtl/>
        </w:rPr>
        <w:t xml:space="preserve">   </w:t>
      </w:r>
      <w:r w:rsidRPr="00DF0A7C">
        <w:t xml:space="preserve">The released fluid was modelled as a water-saturated hydrogen-rich process gas. On a dry basis, the composition consisted of H₂ (73.76 mol%), CO (4.08 mol%), CO₂ (16.31 mol%), CH₄ (4.30 mol%), and N₂ (1.55 mol%), which is representative of PSA off-gas streams in refinery hydrogen management systems. Operating conditions were fixed at 22 bar and 40 °C to provide a consistent baseline for isolating the effects of leak diameter and meteorological conditions on flammable cloud formation (Table </w:t>
      </w:r>
      <w:r>
        <w:rPr>
          <w:rFonts w:hint="cs"/>
          <w:rtl/>
        </w:rPr>
        <w:t>1</w:t>
      </w:r>
      <w:r w:rsidRPr="00DF0A7C">
        <w:t>).</w:t>
      </w:r>
    </w:p>
    <w:p w14:paraId="694A0A76" w14:textId="77777777" w:rsidR="009F2CBC" w:rsidRDefault="009F2CBC" w:rsidP="009F2CBC">
      <w:pPr>
        <w:jc w:val="both"/>
        <w:rPr>
          <w:rtl/>
        </w:rPr>
      </w:pPr>
    </w:p>
    <w:p w14:paraId="6EEBD394" w14:textId="21CA40C7" w:rsidR="00DF0A7C" w:rsidRPr="00DF0A7C" w:rsidRDefault="00DF0A7C" w:rsidP="001313CA">
      <w:pPr>
        <w:spacing w:before="120" w:after="60" w:line="276" w:lineRule="auto"/>
        <w:jc w:val="center"/>
        <w:rPr>
          <w:rFonts w:asciiTheme="majorBidi" w:hAnsiTheme="majorBidi" w:cstheme="majorBidi"/>
          <w:b/>
          <w:bCs/>
          <w:sz w:val="16"/>
          <w:szCs w:val="16"/>
        </w:rPr>
      </w:pPr>
      <w:r w:rsidRPr="00DF0A7C">
        <w:rPr>
          <w:rFonts w:asciiTheme="majorBidi" w:hAnsiTheme="majorBidi" w:cstheme="majorBidi"/>
          <w:b/>
          <w:bCs/>
          <w:sz w:val="18"/>
          <w:szCs w:val="18"/>
        </w:rPr>
        <w:t xml:space="preserve">Table </w:t>
      </w:r>
      <w:r w:rsidRPr="00DF0A7C">
        <w:rPr>
          <w:rFonts w:asciiTheme="majorBidi" w:hAnsiTheme="majorBidi" w:cstheme="majorBidi"/>
          <w:b/>
          <w:bCs/>
          <w:sz w:val="18"/>
          <w:szCs w:val="18"/>
          <w:rtl/>
        </w:rPr>
        <w:t>1</w:t>
      </w:r>
      <w:r w:rsidRPr="00DF0A7C">
        <w:rPr>
          <w:rFonts w:asciiTheme="majorBidi" w:hAnsiTheme="majorBidi" w:cstheme="majorBidi"/>
          <w:b/>
          <w:bCs/>
          <w:sz w:val="18"/>
          <w:szCs w:val="18"/>
        </w:rPr>
        <w:t xml:space="preserve"> Process gas composition and operating conditions used as PHAST inputs.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3024"/>
        <w:gridCol w:w="3024"/>
      </w:tblGrid>
      <w:tr w:rsidR="00DF0A7C" w:rsidRPr="00DF0A7C" w14:paraId="27F92D46" w14:textId="77777777" w:rsidTr="00683253">
        <w:trPr>
          <w:jc w:val="center"/>
        </w:trPr>
        <w:tc>
          <w:tcPr>
            <w:tcW w:w="3024" w:type="dxa"/>
          </w:tcPr>
          <w:p w14:paraId="6820BAAA"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b/>
                <w:sz w:val="18"/>
                <w:szCs w:val="16"/>
              </w:rPr>
              <w:t>Category</w:t>
            </w:r>
          </w:p>
        </w:tc>
        <w:tc>
          <w:tcPr>
            <w:tcW w:w="3024" w:type="dxa"/>
          </w:tcPr>
          <w:p w14:paraId="4AA60D29"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b/>
                <w:sz w:val="18"/>
                <w:szCs w:val="16"/>
              </w:rPr>
              <w:t>Parameter</w:t>
            </w:r>
          </w:p>
        </w:tc>
        <w:tc>
          <w:tcPr>
            <w:tcW w:w="3024" w:type="dxa"/>
          </w:tcPr>
          <w:p w14:paraId="5F53ABF8"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b/>
                <w:sz w:val="18"/>
                <w:szCs w:val="16"/>
              </w:rPr>
              <w:t>Value</w:t>
            </w:r>
          </w:p>
        </w:tc>
      </w:tr>
      <w:tr w:rsidR="00DF0A7C" w:rsidRPr="00DF0A7C" w14:paraId="4FDC15BD" w14:textId="77777777" w:rsidTr="00683253">
        <w:trPr>
          <w:jc w:val="center"/>
        </w:trPr>
        <w:tc>
          <w:tcPr>
            <w:tcW w:w="3024" w:type="dxa"/>
          </w:tcPr>
          <w:p w14:paraId="1D4AAAA7"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 (mol%)</w:t>
            </w:r>
          </w:p>
        </w:tc>
        <w:tc>
          <w:tcPr>
            <w:tcW w:w="3024" w:type="dxa"/>
          </w:tcPr>
          <w:p w14:paraId="54818270"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H2</w:t>
            </w:r>
          </w:p>
        </w:tc>
        <w:tc>
          <w:tcPr>
            <w:tcW w:w="3024" w:type="dxa"/>
          </w:tcPr>
          <w:p w14:paraId="0775DE41"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73.76</w:t>
            </w:r>
          </w:p>
        </w:tc>
      </w:tr>
      <w:tr w:rsidR="00DF0A7C" w:rsidRPr="00DF0A7C" w14:paraId="7F5E44FB" w14:textId="77777777" w:rsidTr="00683253">
        <w:trPr>
          <w:jc w:val="center"/>
        </w:trPr>
        <w:tc>
          <w:tcPr>
            <w:tcW w:w="3024" w:type="dxa"/>
          </w:tcPr>
          <w:p w14:paraId="493AE15B"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 (mol%)</w:t>
            </w:r>
          </w:p>
        </w:tc>
        <w:tc>
          <w:tcPr>
            <w:tcW w:w="3024" w:type="dxa"/>
          </w:tcPr>
          <w:p w14:paraId="72E436E6"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CO</w:t>
            </w:r>
          </w:p>
        </w:tc>
        <w:tc>
          <w:tcPr>
            <w:tcW w:w="3024" w:type="dxa"/>
          </w:tcPr>
          <w:p w14:paraId="381B0366"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4.08</w:t>
            </w:r>
          </w:p>
        </w:tc>
      </w:tr>
      <w:tr w:rsidR="00DF0A7C" w:rsidRPr="00DF0A7C" w14:paraId="5E360C0C" w14:textId="77777777" w:rsidTr="00683253">
        <w:trPr>
          <w:jc w:val="center"/>
        </w:trPr>
        <w:tc>
          <w:tcPr>
            <w:tcW w:w="3024" w:type="dxa"/>
          </w:tcPr>
          <w:p w14:paraId="5E8944B9"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 (mol%)</w:t>
            </w:r>
          </w:p>
        </w:tc>
        <w:tc>
          <w:tcPr>
            <w:tcW w:w="3024" w:type="dxa"/>
          </w:tcPr>
          <w:p w14:paraId="531E4AA4"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CO2</w:t>
            </w:r>
          </w:p>
        </w:tc>
        <w:tc>
          <w:tcPr>
            <w:tcW w:w="3024" w:type="dxa"/>
          </w:tcPr>
          <w:p w14:paraId="4C2262D3"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16.31</w:t>
            </w:r>
          </w:p>
        </w:tc>
      </w:tr>
      <w:tr w:rsidR="00DF0A7C" w:rsidRPr="00DF0A7C" w14:paraId="70A1BFFB" w14:textId="77777777" w:rsidTr="00683253">
        <w:trPr>
          <w:jc w:val="center"/>
        </w:trPr>
        <w:tc>
          <w:tcPr>
            <w:tcW w:w="3024" w:type="dxa"/>
          </w:tcPr>
          <w:p w14:paraId="5A790891"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 (mol%)</w:t>
            </w:r>
          </w:p>
        </w:tc>
        <w:tc>
          <w:tcPr>
            <w:tcW w:w="3024" w:type="dxa"/>
          </w:tcPr>
          <w:p w14:paraId="704A8534"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CH4</w:t>
            </w:r>
          </w:p>
        </w:tc>
        <w:tc>
          <w:tcPr>
            <w:tcW w:w="3024" w:type="dxa"/>
          </w:tcPr>
          <w:p w14:paraId="75E5169F"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4.30</w:t>
            </w:r>
          </w:p>
        </w:tc>
      </w:tr>
      <w:tr w:rsidR="00DF0A7C" w:rsidRPr="00DF0A7C" w14:paraId="4D13EBE2" w14:textId="77777777" w:rsidTr="00683253">
        <w:trPr>
          <w:jc w:val="center"/>
        </w:trPr>
        <w:tc>
          <w:tcPr>
            <w:tcW w:w="3024" w:type="dxa"/>
          </w:tcPr>
          <w:p w14:paraId="084EE185"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 (mol%)</w:t>
            </w:r>
          </w:p>
        </w:tc>
        <w:tc>
          <w:tcPr>
            <w:tcW w:w="3024" w:type="dxa"/>
          </w:tcPr>
          <w:p w14:paraId="552E5CFE"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N2</w:t>
            </w:r>
          </w:p>
        </w:tc>
        <w:tc>
          <w:tcPr>
            <w:tcW w:w="3024" w:type="dxa"/>
          </w:tcPr>
          <w:p w14:paraId="6EB26685"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1.55</w:t>
            </w:r>
          </w:p>
        </w:tc>
      </w:tr>
      <w:tr w:rsidR="00DF0A7C" w:rsidRPr="00DF0A7C" w14:paraId="273086A4" w14:textId="77777777" w:rsidTr="00683253">
        <w:trPr>
          <w:jc w:val="center"/>
        </w:trPr>
        <w:tc>
          <w:tcPr>
            <w:tcW w:w="3024" w:type="dxa"/>
          </w:tcPr>
          <w:p w14:paraId="104D28C7"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Gas composition</w:t>
            </w:r>
          </w:p>
        </w:tc>
        <w:tc>
          <w:tcPr>
            <w:tcW w:w="3024" w:type="dxa"/>
          </w:tcPr>
          <w:p w14:paraId="7B220E71"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Water content</w:t>
            </w:r>
          </w:p>
        </w:tc>
        <w:tc>
          <w:tcPr>
            <w:tcW w:w="3024" w:type="dxa"/>
          </w:tcPr>
          <w:p w14:paraId="6490EF13"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Saturated</w:t>
            </w:r>
          </w:p>
        </w:tc>
      </w:tr>
      <w:tr w:rsidR="00DF0A7C" w:rsidRPr="00DF0A7C" w14:paraId="5B0B093E" w14:textId="77777777" w:rsidTr="00683253">
        <w:trPr>
          <w:jc w:val="center"/>
        </w:trPr>
        <w:tc>
          <w:tcPr>
            <w:tcW w:w="3024" w:type="dxa"/>
          </w:tcPr>
          <w:p w14:paraId="0BAA1A26"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Operating conditions</w:t>
            </w:r>
          </w:p>
        </w:tc>
        <w:tc>
          <w:tcPr>
            <w:tcW w:w="3024" w:type="dxa"/>
          </w:tcPr>
          <w:p w14:paraId="17B9CBBF"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Pressure</w:t>
            </w:r>
          </w:p>
        </w:tc>
        <w:tc>
          <w:tcPr>
            <w:tcW w:w="3024" w:type="dxa"/>
          </w:tcPr>
          <w:p w14:paraId="4DCA0ABE" w14:textId="448A5024"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22 bar</w:t>
            </w:r>
          </w:p>
        </w:tc>
      </w:tr>
      <w:tr w:rsidR="00DF0A7C" w:rsidRPr="00DF0A7C" w14:paraId="29CFF67E" w14:textId="77777777" w:rsidTr="00683253">
        <w:trPr>
          <w:jc w:val="center"/>
        </w:trPr>
        <w:tc>
          <w:tcPr>
            <w:tcW w:w="3024" w:type="dxa"/>
          </w:tcPr>
          <w:p w14:paraId="516E70C8"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Operating conditions</w:t>
            </w:r>
          </w:p>
        </w:tc>
        <w:tc>
          <w:tcPr>
            <w:tcW w:w="3024" w:type="dxa"/>
          </w:tcPr>
          <w:p w14:paraId="14E979A8"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Temperature</w:t>
            </w:r>
          </w:p>
        </w:tc>
        <w:tc>
          <w:tcPr>
            <w:tcW w:w="3024" w:type="dxa"/>
          </w:tcPr>
          <w:p w14:paraId="5BECE311"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40 °C</w:t>
            </w:r>
          </w:p>
        </w:tc>
      </w:tr>
      <w:tr w:rsidR="00DF0A7C" w:rsidRPr="00DF0A7C" w14:paraId="3512646C" w14:textId="77777777" w:rsidTr="00683253">
        <w:trPr>
          <w:jc w:val="center"/>
        </w:trPr>
        <w:tc>
          <w:tcPr>
            <w:tcW w:w="3024" w:type="dxa"/>
          </w:tcPr>
          <w:p w14:paraId="2A300828"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Release setup</w:t>
            </w:r>
          </w:p>
        </w:tc>
        <w:tc>
          <w:tcPr>
            <w:tcW w:w="3024" w:type="dxa"/>
          </w:tcPr>
          <w:p w14:paraId="0FB5ABD8"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Release type</w:t>
            </w:r>
          </w:p>
        </w:tc>
        <w:tc>
          <w:tcPr>
            <w:tcW w:w="3024" w:type="dxa"/>
          </w:tcPr>
          <w:p w14:paraId="478E319E"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Horizontal orifice leak (hole)</w:t>
            </w:r>
          </w:p>
        </w:tc>
      </w:tr>
      <w:tr w:rsidR="00DF0A7C" w:rsidRPr="00DF0A7C" w14:paraId="4A055734" w14:textId="77777777" w:rsidTr="00683253">
        <w:trPr>
          <w:jc w:val="center"/>
        </w:trPr>
        <w:tc>
          <w:tcPr>
            <w:tcW w:w="3024" w:type="dxa"/>
          </w:tcPr>
          <w:p w14:paraId="1DA35DE6"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Release setup</w:t>
            </w:r>
          </w:p>
        </w:tc>
        <w:tc>
          <w:tcPr>
            <w:tcW w:w="3024" w:type="dxa"/>
          </w:tcPr>
          <w:p w14:paraId="1F561227"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Release elevation / height of interest</w:t>
            </w:r>
          </w:p>
        </w:tc>
        <w:tc>
          <w:tcPr>
            <w:tcW w:w="3024" w:type="dxa"/>
          </w:tcPr>
          <w:p w14:paraId="44033497"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1 m / 1 m</w:t>
            </w:r>
          </w:p>
        </w:tc>
      </w:tr>
      <w:tr w:rsidR="00DF0A7C" w:rsidRPr="00DF0A7C" w14:paraId="003C1B1F" w14:textId="77777777" w:rsidTr="00683253">
        <w:trPr>
          <w:jc w:val="center"/>
        </w:trPr>
        <w:tc>
          <w:tcPr>
            <w:tcW w:w="3024" w:type="dxa"/>
          </w:tcPr>
          <w:p w14:paraId="49EF3145"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Release setup</w:t>
            </w:r>
          </w:p>
        </w:tc>
        <w:tc>
          <w:tcPr>
            <w:tcW w:w="3024" w:type="dxa"/>
          </w:tcPr>
          <w:p w14:paraId="7841F390"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Maximum release duration</w:t>
            </w:r>
          </w:p>
        </w:tc>
        <w:tc>
          <w:tcPr>
            <w:tcW w:w="3024" w:type="dxa"/>
          </w:tcPr>
          <w:p w14:paraId="1529D0CE" w14:textId="77777777" w:rsidR="00DF0A7C" w:rsidRPr="00DF0A7C" w:rsidRDefault="00DF0A7C" w:rsidP="001313CA">
            <w:pPr>
              <w:spacing w:line="276" w:lineRule="auto"/>
              <w:jc w:val="center"/>
              <w:rPr>
                <w:rFonts w:asciiTheme="majorBidi" w:hAnsiTheme="majorBidi" w:cstheme="majorBidi"/>
                <w:sz w:val="16"/>
                <w:szCs w:val="16"/>
              </w:rPr>
            </w:pPr>
            <w:r w:rsidRPr="00DF0A7C">
              <w:rPr>
                <w:rFonts w:asciiTheme="majorBidi" w:hAnsiTheme="majorBidi" w:cstheme="majorBidi"/>
                <w:sz w:val="18"/>
                <w:szCs w:val="16"/>
              </w:rPr>
              <w:t>3600 s</w:t>
            </w:r>
          </w:p>
        </w:tc>
      </w:tr>
    </w:tbl>
    <w:p w14:paraId="2C8EC146" w14:textId="77777777" w:rsidR="009F2CBC" w:rsidRDefault="009F2CBC" w:rsidP="00DF0A7C">
      <w:pPr>
        <w:spacing w:line="276" w:lineRule="auto"/>
        <w:jc w:val="both"/>
        <w:rPr>
          <w:rtl/>
        </w:rPr>
      </w:pPr>
      <w:r>
        <w:rPr>
          <w:rFonts w:hint="cs"/>
          <w:rtl/>
        </w:rPr>
        <w:t xml:space="preserve">  </w:t>
      </w:r>
    </w:p>
    <w:p w14:paraId="125FAAAF" w14:textId="1BF1F69E" w:rsidR="00DF0A7C" w:rsidRPr="00DF0A7C" w:rsidRDefault="009F2CBC" w:rsidP="009F2CBC">
      <w:pPr>
        <w:jc w:val="both"/>
      </w:pPr>
      <w:r>
        <w:rPr>
          <w:rFonts w:hint="cs"/>
          <w:rtl/>
        </w:rPr>
        <w:t xml:space="preserve"> </w:t>
      </w:r>
      <w:r w:rsidR="00DF0A7C">
        <w:rPr>
          <w:rFonts w:hint="cs"/>
          <w:rtl/>
        </w:rPr>
        <w:t xml:space="preserve"> </w:t>
      </w:r>
      <w:r w:rsidR="00DF0A7C" w:rsidRPr="00DF0A7C">
        <w:t>For dispersion analysis, the flammable criterion was defined as the mixture lower flammability limit (LFL) of 5.1 vol%, expressed in PHAST as 51,000 ppm</w:t>
      </w:r>
      <w:r w:rsidRPr="009F2CBC">
        <w:t xml:space="preserve"> </w:t>
      </w:r>
      <w:r>
        <w:t>[2,4]</w:t>
      </w:r>
      <w:r w:rsidR="00DF0A7C" w:rsidRPr="00DF0A7C">
        <w:t>. Where relevant, a 10-minute initial release duration was applied to align with the GS EP SAF 253 fire-zone definition for unignited flammable gas cloud dispersion</w:t>
      </w:r>
      <w:r w:rsidRPr="009F2CBC">
        <w:t xml:space="preserve"> </w:t>
      </w:r>
      <w:r>
        <w:t>[3]</w:t>
      </w:r>
      <w:r w:rsidR="00DF0A7C" w:rsidRPr="00DF0A7C">
        <w:t>. In addition, a maximum release duration of 3600 s was specified in PHAST to ensure that cloud development was not artificially constrained.</w:t>
      </w:r>
    </w:p>
    <w:p w14:paraId="7B23B497" w14:textId="77777777" w:rsidR="00DF0A7C" w:rsidRPr="00DF0A7C" w:rsidRDefault="00DF0A7C" w:rsidP="009F2CBC">
      <w:pPr>
        <w:jc w:val="both"/>
      </w:pPr>
      <w:r w:rsidRPr="00DF0A7C">
        <w:t>Seasonal ambient conditions were defined using daily meteorological records for Abadan during 2024. The data were aggregated to monthly averages and subsequently to representative seasonal values in order to reduce short-term variability while preserving systematic seasonal contrasts relevant to atmospheric dispersion. Seasonal temperature–relative humidity pairs were 26.57 °C / 43.97% (spring), 38.82 °C / 24.62% (summer), 28.08 °C / 40.54% (autumn), and 15.71 °C / 59.26% (winter). Corresponding seasonal mean wind speeds were 3.96, 4.74, 4.18, and 3.54 m/s, respectively.</w:t>
      </w:r>
    </w:p>
    <w:p w14:paraId="23D40DD4" w14:textId="77CC52C0" w:rsidR="00DF0A7C" w:rsidRDefault="00DF0A7C" w:rsidP="009F2CBC">
      <w:pPr>
        <w:jc w:val="both"/>
      </w:pPr>
      <w:r>
        <w:rPr>
          <w:rFonts w:hint="cs"/>
          <w:rtl/>
        </w:rPr>
        <w:t xml:space="preserve">   </w:t>
      </w:r>
      <w:r w:rsidRPr="00DF0A7C">
        <w:t>Atmospheric stability was held constant at Pasquill class D for all seasons. Long-term observations indicate that neutral stability conditions dominate for a significant portion of the year in the Abadan region</w:t>
      </w:r>
      <w:r w:rsidR="00683253">
        <w:t xml:space="preserve"> </w:t>
      </w:r>
      <w:r w:rsidR="00F35B42">
        <w:t>[9]</w:t>
      </w:r>
      <w:r w:rsidRPr="00DF0A7C">
        <w:t xml:space="preserve">. Maintaining a uniform stability class was therefore a deliberate choice to isolate the influence of seasonal variations in temperature, humidity, and wind speed on predicted flammable cloud mass, while avoiding confounding effects associated with changes in atmospheric stratification (Table </w:t>
      </w:r>
      <w:r>
        <w:rPr>
          <w:rFonts w:hint="cs"/>
          <w:rtl/>
        </w:rPr>
        <w:t>2</w:t>
      </w:r>
      <w:r w:rsidRPr="00DF0A7C">
        <w:t>).</w:t>
      </w:r>
    </w:p>
    <w:p w14:paraId="41A1FB7D" w14:textId="77777777" w:rsidR="004C59EE" w:rsidRDefault="004C59EE" w:rsidP="009F2CBC">
      <w:pPr>
        <w:jc w:val="both"/>
      </w:pPr>
    </w:p>
    <w:p w14:paraId="088F63E9" w14:textId="77777777" w:rsidR="004C59EE" w:rsidRDefault="004C59EE" w:rsidP="009F2CBC">
      <w:pPr>
        <w:jc w:val="both"/>
      </w:pPr>
    </w:p>
    <w:p w14:paraId="7D4725E6" w14:textId="77777777" w:rsidR="004C59EE" w:rsidRDefault="004C59EE" w:rsidP="009F2CBC">
      <w:pPr>
        <w:jc w:val="both"/>
        <w:rPr>
          <w:rtl/>
        </w:rPr>
      </w:pPr>
    </w:p>
    <w:p w14:paraId="0BCEF0C3" w14:textId="77777777" w:rsidR="009F2CBC" w:rsidRDefault="009F2CBC" w:rsidP="009F2CBC">
      <w:pPr>
        <w:jc w:val="both"/>
        <w:rPr>
          <w:rtl/>
        </w:rPr>
      </w:pPr>
    </w:p>
    <w:p w14:paraId="1A39354E" w14:textId="1CBEAF1D" w:rsidR="00DF0A7C" w:rsidRPr="00DF0A7C" w:rsidRDefault="00DF0A7C" w:rsidP="001313CA">
      <w:pPr>
        <w:spacing w:before="120" w:after="60" w:line="276" w:lineRule="auto"/>
        <w:jc w:val="center"/>
        <w:rPr>
          <w:b/>
          <w:bCs/>
          <w:sz w:val="16"/>
          <w:szCs w:val="16"/>
        </w:rPr>
      </w:pPr>
      <w:r w:rsidRPr="00DF0A7C">
        <w:rPr>
          <w:b/>
          <w:bCs/>
          <w:sz w:val="18"/>
          <w:szCs w:val="18"/>
        </w:rPr>
        <w:t xml:space="preserve">Table </w:t>
      </w:r>
      <w:r>
        <w:rPr>
          <w:rFonts w:hint="cs"/>
          <w:b/>
          <w:bCs/>
          <w:sz w:val="18"/>
          <w:szCs w:val="18"/>
          <w:rtl/>
        </w:rPr>
        <w:t>2</w:t>
      </w:r>
      <w:r w:rsidRPr="00DF0A7C">
        <w:rPr>
          <w:b/>
          <w:bCs/>
          <w:sz w:val="18"/>
          <w:szCs w:val="16"/>
        </w:rPr>
        <w:t xml:space="preserve"> Seasonal meteorology inputs used in PHAST (Abadan, 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814"/>
        <w:gridCol w:w="1814"/>
        <w:gridCol w:w="1814"/>
        <w:gridCol w:w="1814"/>
      </w:tblGrid>
      <w:tr w:rsidR="00DF0A7C" w:rsidRPr="00DF0A7C" w14:paraId="65257A73" w14:textId="77777777" w:rsidTr="00683253">
        <w:trPr>
          <w:jc w:val="center"/>
        </w:trPr>
        <w:tc>
          <w:tcPr>
            <w:tcW w:w="1814" w:type="dxa"/>
          </w:tcPr>
          <w:p w14:paraId="1FBEB4EC" w14:textId="77777777" w:rsidR="00DF0A7C" w:rsidRPr="00DF0A7C" w:rsidRDefault="00DF0A7C" w:rsidP="001313CA">
            <w:pPr>
              <w:spacing w:line="276" w:lineRule="auto"/>
              <w:jc w:val="center"/>
              <w:rPr>
                <w:sz w:val="16"/>
                <w:szCs w:val="16"/>
              </w:rPr>
            </w:pPr>
            <w:r w:rsidRPr="00DF0A7C">
              <w:rPr>
                <w:b/>
                <w:sz w:val="18"/>
                <w:szCs w:val="16"/>
              </w:rPr>
              <w:t>Season</w:t>
            </w:r>
          </w:p>
        </w:tc>
        <w:tc>
          <w:tcPr>
            <w:tcW w:w="1814" w:type="dxa"/>
          </w:tcPr>
          <w:p w14:paraId="722F956D" w14:textId="77777777" w:rsidR="00DF0A7C" w:rsidRPr="00DF0A7C" w:rsidRDefault="00DF0A7C" w:rsidP="001313CA">
            <w:pPr>
              <w:spacing w:line="276" w:lineRule="auto"/>
              <w:jc w:val="center"/>
              <w:rPr>
                <w:sz w:val="16"/>
                <w:szCs w:val="16"/>
              </w:rPr>
            </w:pPr>
            <w:r w:rsidRPr="00DF0A7C">
              <w:rPr>
                <w:b/>
                <w:sz w:val="18"/>
                <w:szCs w:val="16"/>
              </w:rPr>
              <w:t>Temperature (°C)</w:t>
            </w:r>
          </w:p>
        </w:tc>
        <w:tc>
          <w:tcPr>
            <w:tcW w:w="1814" w:type="dxa"/>
          </w:tcPr>
          <w:p w14:paraId="268472AE" w14:textId="77777777" w:rsidR="00DF0A7C" w:rsidRPr="00DF0A7C" w:rsidRDefault="00DF0A7C" w:rsidP="001313CA">
            <w:pPr>
              <w:spacing w:line="276" w:lineRule="auto"/>
              <w:jc w:val="center"/>
              <w:rPr>
                <w:sz w:val="16"/>
                <w:szCs w:val="16"/>
              </w:rPr>
            </w:pPr>
            <w:r w:rsidRPr="00DF0A7C">
              <w:rPr>
                <w:b/>
                <w:sz w:val="18"/>
                <w:szCs w:val="16"/>
              </w:rPr>
              <w:t>Relative humidity (%)</w:t>
            </w:r>
          </w:p>
        </w:tc>
        <w:tc>
          <w:tcPr>
            <w:tcW w:w="1814" w:type="dxa"/>
          </w:tcPr>
          <w:p w14:paraId="42304F42" w14:textId="77777777" w:rsidR="00DF0A7C" w:rsidRPr="00DF0A7C" w:rsidRDefault="00DF0A7C" w:rsidP="001313CA">
            <w:pPr>
              <w:spacing w:line="276" w:lineRule="auto"/>
              <w:jc w:val="center"/>
              <w:rPr>
                <w:sz w:val="16"/>
                <w:szCs w:val="16"/>
              </w:rPr>
            </w:pPr>
            <w:r w:rsidRPr="00DF0A7C">
              <w:rPr>
                <w:b/>
                <w:sz w:val="18"/>
                <w:szCs w:val="16"/>
              </w:rPr>
              <w:t>Wind speed (m/s)</w:t>
            </w:r>
          </w:p>
        </w:tc>
        <w:tc>
          <w:tcPr>
            <w:tcW w:w="1814" w:type="dxa"/>
          </w:tcPr>
          <w:p w14:paraId="525D6CD8" w14:textId="77777777" w:rsidR="00DF0A7C" w:rsidRPr="00DF0A7C" w:rsidRDefault="00DF0A7C" w:rsidP="001313CA">
            <w:pPr>
              <w:spacing w:line="276" w:lineRule="auto"/>
              <w:jc w:val="center"/>
              <w:rPr>
                <w:sz w:val="16"/>
                <w:szCs w:val="16"/>
              </w:rPr>
            </w:pPr>
            <w:r w:rsidRPr="00DF0A7C">
              <w:rPr>
                <w:b/>
                <w:sz w:val="18"/>
                <w:szCs w:val="16"/>
              </w:rPr>
              <w:t>Stability class</w:t>
            </w:r>
          </w:p>
        </w:tc>
      </w:tr>
      <w:tr w:rsidR="00DF0A7C" w:rsidRPr="00DF0A7C" w14:paraId="48AC20A0" w14:textId="77777777" w:rsidTr="00683253">
        <w:trPr>
          <w:jc w:val="center"/>
        </w:trPr>
        <w:tc>
          <w:tcPr>
            <w:tcW w:w="1814" w:type="dxa"/>
          </w:tcPr>
          <w:p w14:paraId="69D781C4" w14:textId="77777777" w:rsidR="00DF0A7C" w:rsidRPr="00DF0A7C" w:rsidRDefault="00DF0A7C" w:rsidP="001313CA">
            <w:pPr>
              <w:spacing w:line="276" w:lineRule="auto"/>
              <w:jc w:val="center"/>
              <w:rPr>
                <w:sz w:val="16"/>
                <w:szCs w:val="16"/>
              </w:rPr>
            </w:pPr>
            <w:r w:rsidRPr="00DF0A7C">
              <w:rPr>
                <w:sz w:val="18"/>
                <w:szCs w:val="16"/>
              </w:rPr>
              <w:t>Spring</w:t>
            </w:r>
          </w:p>
        </w:tc>
        <w:tc>
          <w:tcPr>
            <w:tcW w:w="1814" w:type="dxa"/>
          </w:tcPr>
          <w:p w14:paraId="0B9A1CF0" w14:textId="77777777" w:rsidR="00DF0A7C" w:rsidRPr="00DF0A7C" w:rsidRDefault="00DF0A7C" w:rsidP="001313CA">
            <w:pPr>
              <w:spacing w:line="276" w:lineRule="auto"/>
              <w:jc w:val="center"/>
              <w:rPr>
                <w:sz w:val="16"/>
                <w:szCs w:val="16"/>
              </w:rPr>
            </w:pPr>
            <w:r w:rsidRPr="00DF0A7C">
              <w:rPr>
                <w:sz w:val="18"/>
                <w:szCs w:val="16"/>
              </w:rPr>
              <w:t>26.57</w:t>
            </w:r>
          </w:p>
        </w:tc>
        <w:tc>
          <w:tcPr>
            <w:tcW w:w="1814" w:type="dxa"/>
          </w:tcPr>
          <w:p w14:paraId="3254E9C5" w14:textId="77777777" w:rsidR="00DF0A7C" w:rsidRPr="00DF0A7C" w:rsidRDefault="00DF0A7C" w:rsidP="001313CA">
            <w:pPr>
              <w:spacing w:line="276" w:lineRule="auto"/>
              <w:jc w:val="center"/>
              <w:rPr>
                <w:sz w:val="16"/>
                <w:szCs w:val="16"/>
              </w:rPr>
            </w:pPr>
            <w:r w:rsidRPr="00DF0A7C">
              <w:rPr>
                <w:sz w:val="18"/>
                <w:szCs w:val="16"/>
              </w:rPr>
              <w:t>43.97</w:t>
            </w:r>
          </w:p>
        </w:tc>
        <w:tc>
          <w:tcPr>
            <w:tcW w:w="1814" w:type="dxa"/>
          </w:tcPr>
          <w:p w14:paraId="7E990873" w14:textId="77777777" w:rsidR="00DF0A7C" w:rsidRPr="00DF0A7C" w:rsidRDefault="00DF0A7C" w:rsidP="001313CA">
            <w:pPr>
              <w:spacing w:line="276" w:lineRule="auto"/>
              <w:jc w:val="center"/>
              <w:rPr>
                <w:sz w:val="16"/>
                <w:szCs w:val="16"/>
              </w:rPr>
            </w:pPr>
            <w:r w:rsidRPr="00DF0A7C">
              <w:rPr>
                <w:sz w:val="18"/>
                <w:szCs w:val="16"/>
              </w:rPr>
              <w:t>3.96</w:t>
            </w:r>
          </w:p>
        </w:tc>
        <w:tc>
          <w:tcPr>
            <w:tcW w:w="1814" w:type="dxa"/>
          </w:tcPr>
          <w:p w14:paraId="4FE61478" w14:textId="77777777" w:rsidR="00DF0A7C" w:rsidRPr="00DF0A7C" w:rsidRDefault="00DF0A7C" w:rsidP="001313CA">
            <w:pPr>
              <w:spacing w:line="276" w:lineRule="auto"/>
              <w:jc w:val="center"/>
              <w:rPr>
                <w:sz w:val="16"/>
                <w:szCs w:val="16"/>
              </w:rPr>
            </w:pPr>
            <w:r w:rsidRPr="00DF0A7C">
              <w:rPr>
                <w:sz w:val="18"/>
                <w:szCs w:val="16"/>
              </w:rPr>
              <w:t>D</w:t>
            </w:r>
          </w:p>
        </w:tc>
      </w:tr>
      <w:tr w:rsidR="00DF0A7C" w:rsidRPr="00DF0A7C" w14:paraId="6BBEC310" w14:textId="77777777" w:rsidTr="00683253">
        <w:trPr>
          <w:jc w:val="center"/>
        </w:trPr>
        <w:tc>
          <w:tcPr>
            <w:tcW w:w="1814" w:type="dxa"/>
          </w:tcPr>
          <w:p w14:paraId="0E6C7C96" w14:textId="77777777" w:rsidR="00DF0A7C" w:rsidRPr="00DF0A7C" w:rsidRDefault="00DF0A7C" w:rsidP="001313CA">
            <w:pPr>
              <w:spacing w:line="276" w:lineRule="auto"/>
              <w:jc w:val="center"/>
              <w:rPr>
                <w:sz w:val="16"/>
                <w:szCs w:val="16"/>
              </w:rPr>
            </w:pPr>
            <w:r w:rsidRPr="00DF0A7C">
              <w:rPr>
                <w:sz w:val="18"/>
                <w:szCs w:val="16"/>
              </w:rPr>
              <w:t>Summer</w:t>
            </w:r>
          </w:p>
        </w:tc>
        <w:tc>
          <w:tcPr>
            <w:tcW w:w="1814" w:type="dxa"/>
          </w:tcPr>
          <w:p w14:paraId="72F42D87" w14:textId="77777777" w:rsidR="00DF0A7C" w:rsidRPr="00DF0A7C" w:rsidRDefault="00DF0A7C" w:rsidP="001313CA">
            <w:pPr>
              <w:spacing w:line="276" w:lineRule="auto"/>
              <w:jc w:val="center"/>
              <w:rPr>
                <w:sz w:val="16"/>
                <w:szCs w:val="16"/>
              </w:rPr>
            </w:pPr>
            <w:r w:rsidRPr="00DF0A7C">
              <w:rPr>
                <w:sz w:val="18"/>
                <w:szCs w:val="16"/>
              </w:rPr>
              <w:t>38.82</w:t>
            </w:r>
          </w:p>
        </w:tc>
        <w:tc>
          <w:tcPr>
            <w:tcW w:w="1814" w:type="dxa"/>
          </w:tcPr>
          <w:p w14:paraId="1C83863C" w14:textId="77777777" w:rsidR="00DF0A7C" w:rsidRPr="00DF0A7C" w:rsidRDefault="00DF0A7C" w:rsidP="001313CA">
            <w:pPr>
              <w:spacing w:line="276" w:lineRule="auto"/>
              <w:jc w:val="center"/>
              <w:rPr>
                <w:sz w:val="16"/>
                <w:szCs w:val="16"/>
              </w:rPr>
            </w:pPr>
            <w:r w:rsidRPr="00DF0A7C">
              <w:rPr>
                <w:sz w:val="18"/>
                <w:szCs w:val="16"/>
              </w:rPr>
              <w:t>24.62</w:t>
            </w:r>
          </w:p>
        </w:tc>
        <w:tc>
          <w:tcPr>
            <w:tcW w:w="1814" w:type="dxa"/>
          </w:tcPr>
          <w:p w14:paraId="7CC17EBD" w14:textId="77777777" w:rsidR="00DF0A7C" w:rsidRPr="00DF0A7C" w:rsidRDefault="00DF0A7C" w:rsidP="001313CA">
            <w:pPr>
              <w:spacing w:line="276" w:lineRule="auto"/>
              <w:jc w:val="center"/>
              <w:rPr>
                <w:sz w:val="16"/>
                <w:szCs w:val="16"/>
              </w:rPr>
            </w:pPr>
            <w:r w:rsidRPr="00DF0A7C">
              <w:rPr>
                <w:sz w:val="18"/>
                <w:szCs w:val="16"/>
              </w:rPr>
              <w:t>4.74</w:t>
            </w:r>
          </w:p>
        </w:tc>
        <w:tc>
          <w:tcPr>
            <w:tcW w:w="1814" w:type="dxa"/>
          </w:tcPr>
          <w:p w14:paraId="26281BC9" w14:textId="77777777" w:rsidR="00DF0A7C" w:rsidRPr="00DF0A7C" w:rsidRDefault="00DF0A7C" w:rsidP="001313CA">
            <w:pPr>
              <w:spacing w:line="276" w:lineRule="auto"/>
              <w:jc w:val="center"/>
              <w:rPr>
                <w:sz w:val="16"/>
                <w:szCs w:val="16"/>
              </w:rPr>
            </w:pPr>
            <w:r w:rsidRPr="00DF0A7C">
              <w:rPr>
                <w:sz w:val="18"/>
                <w:szCs w:val="16"/>
              </w:rPr>
              <w:t>D</w:t>
            </w:r>
          </w:p>
        </w:tc>
      </w:tr>
      <w:tr w:rsidR="00DF0A7C" w:rsidRPr="00DF0A7C" w14:paraId="2134F196" w14:textId="77777777" w:rsidTr="00683253">
        <w:trPr>
          <w:jc w:val="center"/>
        </w:trPr>
        <w:tc>
          <w:tcPr>
            <w:tcW w:w="1814" w:type="dxa"/>
          </w:tcPr>
          <w:p w14:paraId="104E1CE0" w14:textId="77777777" w:rsidR="00DF0A7C" w:rsidRPr="00DF0A7C" w:rsidRDefault="00DF0A7C" w:rsidP="001313CA">
            <w:pPr>
              <w:spacing w:line="276" w:lineRule="auto"/>
              <w:jc w:val="center"/>
              <w:rPr>
                <w:sz w:val="16"/>
                <w:szCs w:val="16"/>
              </w:rPr>
            </w:pPr>
            <w:r w:rsidRPr="00DF0A7C">
              <w:rPr>
                <w:sz w:val="18"/>
                <w:szCs w:val="16"/>
              </w:rPr>
              <w:t>Autumn</w:t>
            </w:r>
          </w:p>
        </w:tc>
        <w:tc>
          <w:tcPr>
            <w:tcW w:w="1814" w:type="dxa"/>
          </w:tcPr>
          <w:p w14:paraId="1FB66BC2" w14:textId="77777777" w:rsidR="00DF0A7C" w:rsidRPr="00DF0A7C" w:rsidRDefault="00DF0A7C" w:rsidP="001313CA">
            <w:pPr>
              <w:spacing w:line="276" w:lineRule="auto"/>
              <w:jc w:val="center"/>
              <w:rPr>
                <w:sz w:val="16"/>
                <w:szCs w:val="16"/>
              </w:rPr>
            </w:pPr>
            <w:r w:rsidRPr="00DF0A7C">
              <w:rPr>
                <w:sz w:val="18"/>
                <w:szCs w:val="16"/>
              </w:rPr>
              <w:t>28.08</w:t>
            </w:r>
          </w:p>
        </w:tc>
        <w:tc>
          <w:tcPr>
            <w:tcW w:w="1814" w:type="dxa"/>
          </w:tcPr>
          <w:p w14:paraId="3450B5AA" w14:textId="77777777" w:rsidR="00DF0A7C" w:rsidRPr="00DF0A7C" w:rsidRDefault="00DF0A7C" w:rsidP="001313CA">
            <w:pPr>
              <w:spacing w:line="276" w:lineRule="auto"/>
              <w:jc w:val="center"/>
              <w:rPr>
                <w:sz w:val="16"/>
                <w:szCs w:val="16"/>
              </w:rPr>
            </w:pPr>
            <w:r w:rsidRPr="00DF0A7C">
              <w:rPr>
                <w:sz w:val="18"/>
                <w:szCs w:val="16"/>
              </w:rPr>
              <w:t>40.54</w:t>
            </w:r>
          </w:p>
        </w:tc>
        <w:tc>
          <w:tcPr>
            <w:tcW w:w="1814" w:type="dxa"/>
          </w:tcPr>
          <w:p w14:paraId="1755F97A" w14:textId="77777777" w:rsidR="00DF0A7C" w:rsidRPr="00DF0A7C" w:rsidRDefault="00DF0A7C" w:rsidP="001313CA">
            <w:pPr>
              <w:spacing w:line="276" w:lineRule="auto"/>
              <w:jc w:val="center"/>
              <w:rPr>
                <w:sz w:val="16"/>
                <w:szCs w:val="16"/>
              </w:rPr>
            </w:pPr>
            <w:r w:rsidRPr="00DF0A7C">
              <w:rPr>
                <w:sz w:val="18"/>
                <w:szCs w:val="16"/>
              </w:rPr>
              <w:t>4.18</w:t>
            </w:r>
          </w:p>
        </w:tc>
        <w:tc>
          <w:tcPr>
            <w:tcW w:w="1814" w:type="dxa"/>
          </w:tcPr>
          <w:p w14:paraId="58507212" w14:textId="77777777" w:rsidR="00DF0A7C" w:rsidRPr="00DF0A7C" w:rsidRDefault="00DF0A7C" w:rsidP="001313CA">
            <w:pPr>
              <w:spacing w:line="276" w:lineRule="auto"/>
              <w:jc w:val="center"/>
              <w:rPr>
                <w:sz w:val="16"/>
                <w:szCs w:val="16"/>
              </w:rPr>
            </w:pPr>
            <w:r w:rsidRPr="00DF0A7C">
              <w:rPr>
                <w:sz w:val="18"/>
                <w:szCs w:val="16"/>
              </w:rPr>
              <w:t>D</w:t>
            </w:r>
          </w:p>
        </w:tc>
      </w:tr>
      <w:tr w:rsidR="00DF0A7C" w:rsidRPr="00DF0A7C" w14:paraId="7962DDFB" w14:textId="77777777" w:rsidTr="00683253">
        <w:trPr>
          <w:jc w:val="center"/>
        </w:trPr>
        <w:tc>
          <w:tcPr>
            <w:tcW w:w="1814" w:type="dxa"/>
          </w:tcPr>
          <w:p w14:paraId="0724C131" w14:textId="77777777" w:rsidR="00DF0A7C" w:rsidRPr="00DF0A7C" w:rsidRDefault="00DF0A7C" w:rsidP="001313CA">
            <w:pPr>
              <w:spacing w:line="276" w:lineRule="auto"/>
              <w:jc w:val="center"/>
              <w:rPr>
                <w:sz w:val="16"/>
                <w:szCs w:val="16"/>
              </w:rPr>
            </w:pPr>
            <w:r w:rsidRPr="00DF0A7C">
              <w:rPr>
                <w:sz w:val="18"/>
                <w:szCs w:val="16"/>
              </w:rPr>
              <w:t>Winter</w:t>
            </w:r>
          </w:p>
        </w:tc>
        <w:tc>
          <w:tcPr>
            <w:tcW w:w="1814" w:type="dxa"/>
          </w:tcPr>
          <w:p w14:paraId="28142309" w14:textId="77777777" w:rsidR="00DF0A7C" w:rsidRPr="00DF0A7C" w:rsidRDefault="00DF0A7C" w:rsidP="001313CA">
            <w:pPr>
              <w:spacing w:line="276" w:lineRule="auto"/>
              <w:jc w:val="center"/>
              <w:rPr>
                <w:sz w:val="16"/>
                <w:szCs w:val="16"/>
              </w:rPr>
            </w:pPr>
            <w:r w:rsidRPr="00DF0A7C">
              <w:rPr>
                <w:sz w:val="18"/>
                <w:szCs w:val="16"/>
              </w:rPr>
              <w:t>15.71</w:t>
            </w:r>
          </w:p>
        </w:tc>
        <w:tc>
          <w:tcPr>
            <w:tcW w:w="1814" w:type="dxa"/>
          </w:tcPr>
          <w:p w14:paraId="2790C685" w14:textId="77777777" w:rsidR="00DF0A7C" w:rsidRPr="00DF0A7C" w:rsidRDefault="00DF0A7C" w:rsidP="001313CA">
            <w:pPr>
              <w:spacing w:line="276" w:lineRule="auto"/>
              <w:jc w:val="center"/>
              <w:rPr>
                <w:sz w:val="16"/>
                <w:szCs w:val="16"/>
              </w:rPr>
            </w:pPr>
            <w:r w:rsidRPr="00DF0A7C">
              <w:rPr>
                <w:sz w:val="18"/>
                <w:szCs w:val="16"/>
              </w:rPr>
              <w:t>59.26</w:t>
            </w:r>
          </w:p>
        </w:tc>
        <w:tc>
          <w:tcPr>
            <w:tcW w:w="1814" w:type="dxa"/>
          </w:tcPr>
          <w:p w14:paraId="781CA345" w14:textId="77777777" w:rsidR="00DF0A7C" w:rsidRPr="00DF0A7C" w:rsidRDefault="00DF0A7C" w:rsidP="001313CA">
            <w:pPr>
              <w:spacing w:line="276" w:lineRule="auto"/>
              <w:jc w:val="center"/>
              <w:rPr>
                <w:sz w:val="16"/>
                <w:szCs w:val="16"/>
              </w:rPr>
            </w:pPr>
            <w:r w:rsidRPr="00DF0A7C">
              <w:rPr>
                <w:sz w:val="18"/>
                <w:szCs w:val="16"/>
              </w:rPr>
              <w:t>3.54</w:t>
            </w:r>
          </w:p>
        </w:tc>
        <w:tc>
          <w:tcPr>
            <w:tcW w:w="1814" w:type="dxa"/>
          </w:tcPr>
          <w:p w14:paraId="7DB08ECA" w14:textId="77777777" w:rsidR="00DF0A7C" w:rsidRPr="00DF0A7C" w:rsidRDefault="00DF0A7C" w:rsidP="001313CA">
            <w:pPr>
              <w:spacing w:line="276" w:lineRule="auto"/>
              <w:jc w:val="center"/>
              <w:rPr>
                <w:sz w:val="16"/>
                <w:szCs w:val="16"/>
              </w:rPr>
            </w:pPr>
            <w:r w:rsidRPr="00DF0A7C">
              <w:rPr>
                <w:sz w:val="18"/>
                <w:szCs w:val="16"/>
              </w:rPr>
              <w:t>D</w:t>
            </w:r>
          </w:p>
        </w:tc>
      </w:tr>
    </w:tbl>
    <w:p w14:paraId="3B5F12D8" w14:textId="588035CB" w:rsidR="009F2CBC" w:rsidRDefault="009F2CBC" w:rsidP="009F2CBC">
      <w:pPr>
        <w:jc w:val="both"/>
        <w:rPr>
          <w:rtl/>
        </w:rPr>
      </w:pPr>
    </w:p>
    <w:p w14:paraId="192332FE" w14:textId="3BA74924" w:rsidR="00DF0A7C" w:rsidRDefault="00DF0A7C" w:rsidP="009F2CBC">
      <w:pPr>
        <w:jc w:val="both"/>
        <w:rPr>
          <w:rtl/>
        </w:rPr>
      </w:pPr>
      <w:r>
        <w:rPr>
          <w:rFonts w:hint="cs"/>
          <w:rtl/>
        </w:rPr>
        <w:t xml:space="preserve">  </w:t>
      </w:r>
      <w:r w:rsidRPr="00DF0A7C">
        <w:t>This controlled case-study design provides a defensible basis for examining diameter</w:t>
      </w:r>
      <w:r>
        <w:rPr>
          <w:rFonts w:hint="cs"/>
          <w:rtl/>
        </w:rPr>
        <w:t xml:space="preserve"> </w:t>
      </w:r>
      <w:r w:rsidRPr="00DF0A7C">
        <w:t>season interactions and for determining whether the governing season</w:t>
      </w:r>
      <w:r w:rsidR="009F2CBC">
        <w:rPr>
          <w:rFonts w:hint="cs"/>
          <w:rtl/>
        </w:rPr>
        <w:t xml:space="preserve"> </w:t>
      </w:r>
      <w:r w:rsidRPr="00DF0A7C">
        <w:t>defined by maximum flammable cloud mass and associated explosion</w:t>
      </w:r>
      <w:r w:rsidR="009F2CBC">
        <w:rPr>
          <w:rFonts w:hint="cs"/>
          <w:rtl/>
        </w:rPr>
        <w:t xml:space="preserve">  </w:t>
      </w:r>
      <w:r w:rsidRPr="00DF0A7C">
        <w:t>impact</w:t>
      </w:r>
      <w:r>
        <w:rPr>
          <w:rFonts w:hint="cs"/>
          <w:rtl/>
        </w:rPr>
        <w:t xml:space="preserve"> </w:t>
      </w:r>
      <w:r w:rsidRPr="00DF0A7C">
        <w:t>remains invariant or shifts with leak diameter, which is central to seasonal scenario selection in practical consequence analysis</w:t>
      </w:r>
      <w:r w:rsidR="00792013">
        <w:t>[10]</w:t>
      </w:r>
      <w:r w:rsidRPr="00DF0A7C">
        <w:t>.</w:t>
      </w:r>
    </w:p>
    <w:p w14:paraId="3A5A988D" w14:textId="77777777" w:rsidR="00DF0A7C" w:rsidRPr="00DF0A7C" w:rsidRDefault="00DF0A7C" w:rsidP="00DF0A7C">
      <w:pPr>
        <w:spacing w:line="276" w:lineRule="auto"/>
        <w:jc w:val="both"/>
      </w:pPr>
    </w:p>
    <w:p w14:paraId="164D0816" w14:textId="7667FDDB" w:rsidR="00DC01C3" w:rsidRPr="00DF0A7C" w:rsidRDefault="00DC01C3" w:rsidP="009F2CBC">
      <w:pPr>
        <w:jc w:val="both"/>
        <w:rPr>
          <w:sz w:val="22"/>
          <w:szCs w:val="22"/>
        </w:rPr>
      </w:pPr>
      <w:r w:rsidRPr="00DF0A7C">
        <w:rPr>
          <w:b/>
          <w:sz w:val="22"/>
          <w:szCs w:val="22"/>
        </w:rPr>
        <w:t>3. Methodology</w:t>
      </w:r>
    </w:p>
    <w:p w14:paraId="243BFE79" w14:textId="77777777" w:rsidR="00DC01C3" w:rsidRPr="00DF0A7C" w:rsidRDefault="00DC01C3" w:rsidP="009F2CBC">
      <w:pPr>
        <w:jc w:val="both"/>
        <w:rPr>
          <w:sz w:val="22"/>
          <w:szCs w:val="22"/>
        </w:rPr>
      </w:pPr>
      <w:r w:rsidRPr="00DF0A7C">
        <w:rPr>
          <w:b/>
          <w:sz w:val="22"/>
          <w:szCs w:val="22"/>
        </w:rPr>
        <w:t>3.1 Dispersion and Flammable Cloud Definition</w:t>
      </w:r>
    </w:p>
    <w:p w14:paraId="2C9E3090" w14:textId="292B3D15" w:rsidR="00DC01C3" w:rsidRDefault="00DF0A7C" w:rsidP="009F2CBC">
      <w:pPr>
        <w:spacing w:after="120"/>
        <w:jc w:val="both"/>
      </w:pPr>
      <w:r>
        <w:rPr>
          <w:rFonts w:hint="cs"/>
          <w:rtl/>
        </w:rPr>
        <w:t xml:space="preserve">   </w:t>
      </w:r>
      <w:r w:rsidR="00DC01C3">
        <w:t>Each leak case was simulated to obtain release rate history and the maximum flammable cloud footprint at the chosen LFL</w:t>
      </w:r>
      <w:r w:rsidR="00792013">
        <w:t>[2,4]</w:t>
      </w:r>
      <w:r w:rsidR="00DC01C3">
        <w:t>. PHAST outputs used include mass release rate versus time, maximum concentration versus distance at specified height, and cloud footprint / maximum footprint. The flammable averaging time was maintained consistently across runs to avoid artefacts in cloud extent.</w:t>
      </w:r>
    </w:p>
    <w:p w14:paraId="4BB9DE87" w14:textId="77777777" w:rsidR="00DC01C3" w:rsidRDefault="00DC01C3" w:rsidP="009F2CBC">
      <w:pPr>
        <w:jc w:val="both"/>
      </w:pPr>
      <w:r>
        <w:rPr>
          <w:b/>
          <w:sz w:val="22"/>
        </w:rPr>
        <w:t>3.2 Vapour Cloud Explosion Modelling</w:t>
      </w:r>
    </w:p>
    <w:p w14:paraId="349AAF32" w14:textId="46ED8627" w:rsidR="00DC01C3" w:rsidRDefault="00DF0A7C" w:rsidP="009F2CBC">
      <w:pPr>
        <w:spacing w:after="120"/>
        <w:jc w:val="both"/>
      </w:pPr>
      <w:r>
        <w:rPr>
          <w:rFonts w:hint="cs"/>
          <w:rtl/>
        </w:rPr>
        <w:t xml:space="preserve">   </w:t>
      </w:r>
      <w:r w:rsidR="00DC01C3">
        <w:t>The same flammable cloud basis was used as input to three explosion models: TNT equivalency, BST, and TNO Multi‑Energy</w:t>
      </w:r>
      <w:r w:rsidR="00792013">
        <w:t>[6,7]</w:t>
      </w:r>
      <w:r w:rsidR="00DC01C3">
        <w:t>. Overpressure radii were extracted at multiple thresholds. In this study, the governing safety distance criterion follows GS EP SAF 253 and is taken as 200 mbar (0.2 bar)</w:t>
      </w:r>
      <w:r w:rsidR="00792013" w:rsidRPr="00792013">
        <w:t xml:space="preserve"> </w:t>
      </w:r>
      <w:r w:rsidR="00792013">
        <w:t>[3]</w:t>
      </w:r>
      <w:r w:rsidR="00DC01C3">
        <w:t>. Additional thresholds (e.g., 0.14 and 0.05 bar) are reported for vulnerability screening and escalation assessment</w:t>
      </w:r>
      <w:r w:rsidR="00792013">
        <w:t>[</w:t>
      </w:r>
      <w:r w:rsidR="00F35B42">
        <w:t>11</w:t>
      </w:r>
      <w:r w:rsidR="00792013">
        <w:t>]</w:t>
      </w:r>
      <w:r w:rsidR="00DC01C3">
        <w:t>.</w:t>
      </w:r>
    </w:p>
    <w:p w14:paraId="2D3FD5F3" w14:textId="77777777" w:rsidR="00DC01C3" w:rsidRDefault="00DC01C3" w:rsidP="009F2CBC">
      <w:pPr>
        <w:jc w:val="both"/>
      </w:pPr>
      <w:r>
        <w:rPr>
          <w:b/>
          <w:sz w:val="22"/>
        </w:rPr>
        <w:t>3.3 Safety Distance Interpretation (Fire‑Zone)</w:t>
      </w:r>
    </w:p>
    <w:p w14:paraId="2D277DF4" w14:textId="5904F5FC" w:rsidR="00F1606F" w:rsidRDefault="00DF0A7C" w:rsidP="009F2CBC">
      <w:pPr>
        <w:jc w:val="both"/>
      </w:pPr>
      <w:r>
        <w:rPr>
          <w:rFonts w:hint="cs"/>
          <w:rtl/>
        </w:rPr>
        <w:t xml:space="preserve">   </w:t>
      </w:r>
      <w:r w:rsidR="00DC01C3">
        <w:t>Safety distance is defined as the maximum downwind distance (or equivalent radius) at which the selected criterion is met. For VCE, the 0.2 bar radius is the primary fire‑zone boundary. To support design decisions, an envelope approach is applied: for each leak size, the maximum predicted radius among the credible models/assumptions is selected as the conservative safety distance.</w:t>
      </w:r>
    </w:p>
    <w:p w14:paraId="17BD5006" w14:textId="77777777" w:rsidR="00F1606F" w:rsidRDefault="00F1606F" w:rsidP="00DF0A7C">
      <w:pPr>
        <w:spacing w:line="232" w:lineRule="auto"/>
        <w:jc w:val="both"/>
      </w:pPr>
    </w:p>
    <w:p w14:paraId="443EEBAB" w14:textId="77777777" w:rsidR="00D02253" w:rsidRPr="00DF0A7C" w:rsidRDefault="00D02253" w:rsidP="00DF0A7C">
      <w:pPr>
        <w:jc w:val="both"/>
        <w:rPr>
          <w:rFonts w:asciiTheme="majorBidi" w:hAnsiTheme="majorBidi" w:cstheme="majorBidi"/>
          <w:sz w:val="22"/>
          <w:szCs w:val="22"/>
        </w:rPr>
      </w:pPr>
      <w:r w:rsidRPr="00DF0A7C">
        <w:rPr>
          <w:rFonts w:asciiTheme="majorBidi" w:hAnsiTheme="majorBidi" w:cstheme="majorBidi"/>
          <w:b/>
          <w:sz w:val="22"/>
          <w:szCs w:val="22"/>
        </w:rPr>
        <w:t>4. Results and Discussion</w:t>
      </w:r>
    </w:p>
    <w:p w14:paraId="3CE3E074" w14:textId="77777777" w:rsidR="00D02253" w:rsidRDefault="00D02253" w:rsidP="00DF0A7C">
      <w:pPr>
        <w:jc w:val="both"/>
      </w:pPr>
      <w:r w:rsidRPr="00DF0A7C">
        <w:rPr>
          <w:rFonts w:asciiTheme="majorBidi" w:hAnsiTheme="majorBidi" w:cstheme="majorBidi"/>
          <w:b/>
          <w:sz w:val="22"/>
          <w:szCs w:val="22"/>
        </w:rPr>
        <w:t>4.1 Model Comparison for the 20 mm Leak Case</w:t>
      </w:r>
    </w:p>
    <w:p w14:paraId="06368B18" w14:textId="38D8F15A" w:rsidR="009F2CBC" w:rsidRDefault="001313CA" w:rsidP="009F2CBC">
      <w:pPr>
        <w:spacing w:after="120"/>
        <w:jc w:val="both"/>
      </w:pPr>
      <w:r>
        <w:rPr>
          <w:rFonts w:hint="cs"/>
          <w:rtl/>
        </w:rPr>
        <w:t xml:space="preserve">   </w:t>
      </w:r>
      <w:r w:rsidR="00D02253">
        <w:t xml:space="preserve">Table </w:t>
      </w:r>
      <w:r w:rsidR="00DF0A7C">
        <w:rPr>
          <w:rFonts w:hint="cs"/>
          <w:rtl/>
        </w:rPr>
        <w:t>3</w:t>
      </w:r>
      <w:r w:rsidR="00D02253">
        <w:t xml:space="preserve"> summarises extracted overpressure radii for the 20 mm leak case from the three models. The TNO Multi‑Energy method predicts the smallest radii for the selected thresholds, while BST produces the most conservative results. TNT predictions depend strongly on the assumed yield (efficiency), highlighting the need to justify and report this parameter[13].</w:t>
      </w:r>
    </w:p>
    <w:p w14:paraId="3A5987DA" w14:textId="607443C9" w:rsidR="00D02253" w:rsidRPr="00DF0A7C" w:rsidRDefault="00D02253" w:rsidP="001313CA">
      <w:pPr>
        <w:spacing w:line="360" w:lineRule="auto"/>
        <w:jc w:val="center"/>
        <w:rPr>
          <w:b/>
          <w:bCs/>
          <w:sz w:val="18"/>
          <w:szCs w:val="18"/>
        </w:rPr>
      </w:pPr>
      <w:r w:rsidRPr="00DF0A7C">
        <w:rPr>
          <w:b/>
          <w:bCs/>
          <w:sz w:val="18"/>
          <w:szCs w:val="18"/>
        </w:rPr>
        <w:t xml:space="preserve">Table </w:t>
      </w:r>
      <w:r w:rsidR="00DF0A7C" w:rsidRPr="00DF0A7C">
        <w:rPr>
          <w:rFonts w:hint="cs"/>
          <w:b/>
          <w:bCs/>
          <w:sz w:val="18"/>
          <w:szCs w:val="18"/>
          <w:rtl/>
        </w:rPr>
        <w:t>3</w:t>
      </w:r>
      <w:r w:rsidRPr="00DF0A7C">
        <w:rPr>
          <w:b/>
          <w:bCs/>
          <w:sz w:val="18"/>
          <w:szCs w:val="18"/>
        </w:rPr>
        <w:t xml:space="preserve"> Overpressure radii for the 20 mm leak case (extracted from PHAST runs).</w:t>
      </w:r>
    </w:p>
    <w:tbl>
      <w:tblPr>
        <w:tblStyle w:val="TableGrid"/>
        <w:tblW w:w="9431" w:type="dxa"/>
        <w:jc w:val="center"/>
        <w:tblLook w:val="04A0" w:firstRow="1" w:lastRow="0" w:firstColumn="1" w:lastColumn="0" w:noHBand="0" w:noVBand="1"/>
      </w:tblPr>
      <w:tblGrid>
        <w:gridCol w:w="1646"/>
        <w:gridCol w:w="2739"/>
        <w:gridCol w:w="1738"/>
        <w:gridCol w:w="1738"/>
        <w:gridCol w:w="1570"/>
      </w:tblGrid>
      <w:tr w:rsidR="00D02253" w:rsidRPr="00D02253" w14:paraId="5BB46FE5" w14:textId="77777777" w:rsidTr="009F2CBC">
        <w:trPr>
          <w:trHeight w:val="271"/>
          <w:jc w:val="center"/>
        </w:trPr>
        <w:tc>
          <w:tcPr>
            <w:tcW w:w="1646" w:type="dxa"/>
          </w:tcPr>
          <w:p w14:paraId="1CF2E117" w14:textId="77777777" w:rsidR="00D02253" w:rsidRPr="00DF0A7C" w:rsidRDefault="00D02253" w:rsidP="001313CA">
            <w:pPr>
              <w:jc w:val="center"/>
              <w:rPr>
                <w:b/>
                <w:bCs/>
                <w:sz w:val="18"/>
                <w:szCs w:val="18"/>
              </w:rPr>
            </w:pPr>
            <w:r w:rsidRPr="00DF0A7C">
              <w:rPr>
                <w:b/>
                <w:bCs/>
                <w:sz w:val="18"/>
                <w:szCs w:val="18"/>
              </w:rPr>
              <w:t>Model</w:t>
            </w:r>
          </w:p>
        </w:tc>
        <w:tc>
          <w:tcPr>
            <w:tcW w:w="2739" w:type="dxa"/>
          </w:tcPr>
          <w:p w14:paraId="2CB1FCAF" w14:textId="77777777" w:rsidR="00D02253" w:rsidRPr="00DF0A7C" w:rsidRDefault="00D02253" w:rsidP="001313CA">
            <w:pPr>
              <w:jc w:val="center"/>
              <w:rPr>
                <w:b/>
                <w:bCs/>
                <w:sz w:val="18"/>
                <w:szCs w:val="18"/>
              </w:rPr>
            </w:pPr>
            <w:r w:rsidRPr="00DF0A7C">
              <w:rPr>
                <w:b/>
                <w:bCs/>
                <w:sz w:val="18"/>
                <w:szCs w:val="18"/>
              </w:rPr>
              <w:t>Assumption</w:t>
            </w:r>
          </w:p>
        </w:tc>
        <w:tc>
          <w:tcPr>
            <w:tcW w:w="1738" w:type="dxa"/>
          </w:tcPr>
          <w:p w14:paraId="43378A6F" w14:textId="418031E9" w:rsidR="00D02253" w:rsidRPr="00DF0A7C" w:rsidRDefault="00D02253" w:rsidP="001313CA">
            <w:pPr>
              <w:jc w:val="center"/>
              <w:rPr>
                <w:b/>
                <w:bCs/>
                <w:sz w:val="18"/>
                <w:szCs w:val="18"/>
              </w:rPr>
            </w:pPr>
            <w:r w:rsidRPr="00DF0A7C">
              <w:rPr>
                <w:b/>
                <w:bCs/>
                <w:sz w:val="18"/>
                <w:szCs w:val="18"/>
              </w:rPr>
              <w:t xml:space="preserve">R </w:t>
            </w:r>
            <w:r w:rsidR="00D22140" w:rsidRPr="00DF0A7C">
              <w:rPr>
                <w:rFonts w:hint="cs"/>
                <w:b/>
                <w:bCs/>
                <w:sz w:val="18"/>
                <w:szCs w:val="18"/>
                <w:rtl/>
              </w:rPr>
              <w:t>=</w:t>
            </w:r>
            <w:r w:rsidRPr="00DF0A7C">
              <w:rPr>
                <w:b/>
                <w:bCs/>
                <w:sz w:val="18"/>
                <w:szCs w:val="18"/>
              </w:rPr>
              <w:t xml:space="preserve"> 0.20 bar (m)</w:t>
            </w:r>
          </w:p>
        </w:tc>
        <w:tc>
          <w:tcPr>
            <w:tcW w:w="1738" w:type="dxa"/>
          </w:tcPr>
          <w:p w14:paraId="44C69B64" w14:textId="609DCB1E" w:rsidR="00D02253" w:rsidRPr="00DF0A7C" w:rsidRDefault="00D02253" w:rsidP="001313CA">
            <w:pPr>
              <w:jc w:val="center"/>
              <w:rPr>
                <w:b/>
                <w:bCs/>
                <w:sz w:val="18"/>
                <w:szCs w:val="18"/>
              </w:rPr>
            </w:pPr>
            <w:r w:rsidRPr="00DF0A7C">
              <w:rPr>
                <w:b/>
                <w:bCs/>
                <w:sz w:val="18"/>
                <w:szCs w:val="18"/>
              </w:rPr>
              <w:t>R</w:t>
            </w:r>
            <w:r w:rsidR="00D22140" w:rsidRPr="00DF0A7C">
              <w:rPr>
                <w:rFonts w:hint="cs"/>
                <w:b/>
                <w:bCs/>
                <w:sz w:val="18"/>
                <w:szCs w:val="18"/>
                <w:rtl/>
              </w:rPr>
              <w:t xml:space="preserve"> = </w:t>
            </w:r>
            <w:r w:rsidRPr="00DF0A7C">
              <w:rPr>
                <w:b/>
                <w:bCs/>
                <w:sz w:val="18"/>
                <w:szCs w:val="18"/>
              </w:rPr>
              <w:t>0.14 bar (m)</w:t>
            </w:r>
          </w:p>
        </w:tc>
        <w:tc>
          <w:tcPr>
            <w:tcW w:w="1570" w:type="dxa"/>
          </w:tcPr>
          <w:p w14:paraId="124427B8" w14:textId="572932B7" w:rsidR="00D02253" w:rsidRPr="00DF0A7C" w:rsidRDefault="00D02253" w:rsidP="001313CA">
            <w:pPr>
              <w:jc w:val="center"/>
              <w:rPr>
                <w:b/>
                <w:bCs/>
                <w:sz w:val="18"/>
                <w:szCs w:val="18"/>
              </w:rPr>
            </w:pPr>
            <w:r w:rsidRPr="00DF0A7C">
              <w:rPr>
                <w:b/>
                <w:bCs/>
                <w:sz w:val="18"/>
                <w:szCs w:val="18"/>
              </w:rPr>
              <w:t xml:space="preserve">R </w:t>
            </w:r>
            <w:r w:rsidR="00D22140" w:rsidRPr="00DF0A7C">
              <w:rPr>
                <w:rFonts w:hint="cs"/>
                <w:b/>
                <w:bCs/>
                <w:sz w:val="18"/>
                <w:szCs w:val="18"/>
                <w:rtl/>
              </w:rPr>
              <w:t>=</w:t>
            </w:r>
            <w:r w:rsidRPr="00DF0A7C">
              <w:rPr>
                <w:b/>
                <w:bCs/>
                <w:sz w:val="18"/>
                <w:szCs w:val="18"/>
              </w:rPr>
              <w:t xml:space="preserve"> 0.05 bar (m)</w:t>
            </w:r>
          </w:p>
        </w:tc>
      </w:tr>
      <w:tr w:rsidR="00D02253" w:rsidRPr="00D02253" w14:paraId="51947651" w14:textId="77777777" w:rsidTr="009F2CBC">
        <w:trPr>
          <w:trHeight w:val="205"/>
          <w:jc w:val="center"/>
        </w:trPr>
        <w:tc>
          <w:tcPr>
            <w:tcW w:w="1646" w:type="dxa"/>
          </w:tcPr>
          <w:p w14:paraId="34358AEB" w14:textId="77777777" w:rsidR="00D02253" w:rsidRPr="00D02253" w:rsidRDefault="00D02253" w:rsidP="001313CA">
            <w:pPr>
              <w:jc w:val="center"/>
              <w:rPr>
                <w:sz w:val="18"/>
                <w:szCs w:val="18"/>
              </w:rPr>
            </w:pPr>
            <w:r w:rsidRPr="00D02253">
              <w:rPr>
                <w:sz w:val="18"/>
                <w:szCs w:val="18"/>
              </w:rPr>
              <w:t>TNO Multi‑Energy</w:t>
            </w:r>
          </w:p>
        </w:tc>
        <w:tc>
          <w:tcPr>
            <w:tcW w:w="2739" w:type="dxa"/>
          </w:tcPr>
          <w:p w14:paraId="051F3457" w14:textId="77777777" w:rsidR="00D02253" w:rsidRPr="00D02253" w:rsidRDefault="00D02253" w:rsidP="001313CA">
            <w:pPr>
              <w:jc w:val="center"/>
              <w:rPr>
                <w:sz w:val="18"/>
                <w:szCs w:val="18"/>
              </w:rPr>
            </w:pPr>
            <w:r w:rsidRPr="00D02253">
              <w:rPr>
                <w:sz w:val="18"/>
                <w:szCs w:val="18"/>
              </w:rPr>
              <w:t>ME case (as modelled)</w:t>
            </w:r>
          </w:p>
        </w:tc>
        <w:tc>
          <w:tcPr>
            <w:tcW w:w="1738" w:type="dxa"/>
          </w:tcPr>
          <w:p w14:paraId="19278E5A" w14:textId="77777777" w:rsidR="00D02253" w:rsidRPr="00D02253" w:rsidRDefault="00D02253" w:rsidP="001313CA">
            <w:pPr>
              <w:jc w:val="center"/>
              <w:rPr>
                <w:sz w:val="18"/>
                <w:szCs w:val="18"/>
              </w:rPr>
            </w:pPr>
            <w:r w:rsidRPr="00D02253">
              <w:rPr>
                <w:sz w:val="18"/>
                <w:szCs w:val="18"/>
              </w:rPr>
              <w:t>1.72</w:t>
            </w:r>
          </w:p>
        </w:tc>
        <w:tc>
          <w:tcPr>
            <w:tcW w:w="1738" w:type="dxa"/>
          </w:tcPr>
          <w:p w14:paraId="1D8CD4A2" w14:textId="77777777" w:rsidR="00D02253" w:rsidRPr="00D02253" w:rsidRDefault="00D02253" w:rsidP="001313CA">
            <w:pPr>
              <w:jc w:val="center"/>
              <w:rPr>
                <w:sz w:val="18"/>
                <w:szCs w:val="18"/>
              </w:rPr>
            </w:pPr>
            <w:r w:rsidRPr="00D02253">
              <w:rPr>
                <w:sz w:val="18"/>
                <w:szCs w:val="18"/>
              </w:rPr>
              <w:t>2.30</w:t>
            </w:r>
          </w:p>
        </w:tc>
        <w:tc>
          <w:tcPr>
            <w:tcW w:w="1570" w:type="dxa"/>
          </w:tcPr>
          <w:p w14:paraId="3EC61EB2" w14:textId="77777777" w:rsidR="00D02253" w:rsidRPr="00D02253" w:rsidRDefault="00D02253" w:rsidP="001313CA">
            <w:pPr>
              <w:jc w:val="center"/>
              <w:rPr>
                <w:sz w:val="18"/>
                <w:szCs w:val="18"/>
              </w:rPr>
            </w:pPr>
            <w:r w:rsidRPr="00D02253">
              <w:rPr>
                <w:sz w:val="18"/>
                <w:szCs w:val="18"/>
              </w:rPr>
              <w:t>5.64</w:t>
            </w:r>
          </w:p>
        </w:tc>
      </w:tr>
      <w:tr w:rsidR="00D02253" w:rsidRPr="00D02253" w14:paraId="621DC513" w14:textId="77777777" w:rsidTr="009F2CBC">
        <w:trPr>
          <w:trHeight w:val="412"/>
          <w:jc w:val="center"/>
        </w:trPr>
        <w:tc>
          <w:tcPr>
            <w:tcW w:w="1646" w:type="dxa"/>
          </w:tcPr>
          <w:p w14:paraId="478BF198" w14:textId="77777777" w:rsidR="00D02253" w:rsidRPr="00D02253" w:rsidRDefault="00D02253" w:rsidP="001313CA">
            <w:pPr>
              <w:jc w:val="center"/>
              <w:rPr>
                <w:sz w:val="18"/>
                <w:szCs w:val="18"/>
              </w:rPr>
            </w:pPr>
            <w:r w:rsidRPr="00D02253">
              <w:rPr>
                <w:sz w:val="18"/>
                <w:szCs w:val="18"/>
              </w:rPr>
              <w:t>BST</w:t>
            </w:r>
          </w:p>
        </w:tc>
        <w:tc>
          <w:tcPr>
            <w:tcW w:w="2739" w:type="dxa"/>
          </w:tcPr>
          <w:p w14:paraId="5EC02AD6" w14:textId="77777777" w:rsidR="00D02253" w:rsidRPr="00D02253" w:rsidRDefault="00D02253" w:rsidP="001313CA">
            <w:pPr>
              <w:jc w:val="center"/>
              <w:rPr>
                <w:sz w:val="18"/>
                <w:szCs w:val="18"/>
              </w:rPr>
            </w:pPr>
            <w:r w:rsidRPr="00D02253">
              <w:rPr>
                <w:sz w:val="18"/>
                <w:szCs w:val="18"/>
              </w:rPr>
              <w:t>High reactivity; medium obstacle density; flame expansion=3</w:t>
            </w:r>
          </w:p>
        </w:tc>
        <w:tc>
          <w:tcPr>
            <w:tcW w:w="1738" w:type="dxa"/>
          </w:tcPr>
          <w:p w14:paraId="0D382CAF" w14:textId="77777777" w:rsidR="00D02253" w:rsidRPr="00D02253" w:rsidRDefault="00D02253" w:rsidP="001313CA">
            <w:pPr>
              <w:jc w:val="center"/>
              <w:rPr>
                <w:sz w:val="18"/>
                <w:szCs w:val="18"/>
              </w:rPr>
            </w:pPr>
            <w:r w:rsidRPr="00D02253">
              <w:rPr>
                <w:sz w:val="18"/>
                <w:szCs w:val="18"/>
              </w:rPr>
              <w:t>3.84</w:t>
            </w:r>
          </w:p>
        </w:tc>
        <w:tc>
          <w:tcPr>
            <w:tcW w:w="1738" w:type="dxa"/>
          </w:tcPr>
          <w:p w14:paraId="3F17005A" w14:textId="77777777" w:rsidR="00D02253" w:rsidRPr="00D02253" w:rsidRDefault="00D02253" w:rsidP="001313CA">
            <w:pPr>
              <w:jc w:val="center"/>
              <w:rPr>
                <w:sz w:val="18"/>
                <w:szCs w:val="18"/>
              </w:rPr>
            </w:pPr>
            <w:r w:rsidRPr="00D02253">
              <w:rPr>
                <w:sz w:val="18"/>
                <w:szCs w:val="18"/>
              </w:rPr>
              <w:t>5.26</w:t>
            </w:r>
          </w:p>
        </w:tc>
        <w:tc>
          <w:tcPr>
            <w:tcW w:w="1570" w:type="dxa"/>
          </w:tcPr>
          <w:p w14:paraId="7075612C" w14:textId="77777777" w:rsidR="00D02253" w:rsidRPr="00D02253" w:rsidRDefault="00D02253" w:rsidP="001313CA">
            <w:pPr>
              <w:jc w:val="center"/>
              <w:rPr>
                <w:sz w:val="18"/>
                <w:szCs w:val="18"/>
              </w:rPr>
            </w:pPr>
            <w:r w:rsidRPr="00D02253">
              <w:rPr>
                <w:sz w:val="18"/>
                <w:szCs w:val="18"/>
              </w:rPr>
              <w:t>12.65</w:t>
            </w:r>
          </w:p>
        </w:tc>
      </w:tr>
      <w:tr w:rsidR="00D02253" w:rsidRPr="00D02253" w14:paraId="217678BA" w14:textId="77777777" w:rsidTr="009F2CBC">
        <w:trPr>
          <w:trHeight w:val="205"/>
          <w:jc w:val="center"/>
        </w:trPr>
        <w:tc>
          <w:tcPr>
            <w:tcW w:w="1646" w:type="dxa"/>
          </w:tcPr>
          <w:p w14:paraId="2B1E5FEA" w14:textId="77777777" w:rsidR="00D02253" w:rsidRPr="00D02253" w:rsidRDefault="00D02253" w:rsidP="001313CA">
            <w:pPr>
              <w:jc w:val="center"/>
              <w:rPr>
                <w:sz w:val="18"/>
                <w:szCs w:val="18"/>
              </w:rPr>
            </w:pPr>
            <w:r w:rsidRPr="00D02253">
              <w:rPr>
                <w:sz w:val="18"/>
                <w:szCs w:val="18"/>
              </w:rPr>
              <w:t>TNT equivalency</w:t>
            </w:r>
          </w:p>
        </w:tc>
        <w:tc>
          <w:tcPr>
            <w:tcW w:w="2739" w:type="dxa"/>
          </w:tcPr>
          <w:p w14:paraId="47527112" w14:textId="77777777" w:rsidR="00D02253" w:rsidRPr="00D02253" w:rsidRDefault="00D02253" w:rsidP="001313CA">
            <w:pPr>
              <w:jc w:val="center"/>
              <w:rPr>
                <w:sz w:val="18"/>
                <w:szCs w:val="18"/>
              </w:rPr>
            </w:pPr>
            <w:r w:rsidRPr="00D02253">
              <w:rPr>
                <w:sz w:val="18"/>
                <w:szCs w:val="18"/>
              </w:rPr>
              <w:t>Yield=10%</w:t>
            </w:r>
          </w:p>
        </w:tc>
        <w:tc>
          <w:tcPr>
            <w:tcW w:w="1738" w:type="dxa"/>
          </w:tcPr>
          <w:p w14:paraId="40C889F1" w14:textId="77777777" w:rsidR="00D02253" w:rsidRPr="00D02253" w:rsidRDefault="00D02253" w:rsidP="001313CA">
            <w:pPr>
              <w:jc w:val="center"/>
              <w:rPr>
                <w:sz w:val="18"/>
                <w:szCs w:val="18"/>
              </w:rPr>
            </w:pPr>
            <w:r w:rsidRPr="00D02253">
              <w:rPr>
                <w:sz w:val="18"/>
                <w:szCs w:val="18"/>
              </w:rPr>
              <w:t>1.89</w:t>
            </w:r>
          </w:p>
        </w:tc>
        <w:tc>
          <w:tcPr>
            <w:tcW w:w="1738" w:type="dxa"/>
          </w:tcPr>
          <w:p w14:paraId="6860CA8D" w14:textId="77777777" w:rsidR="00D02253" w:rsidRPr="00D02253" w:rsidRDefault="00D02253" w:rsidP="001313CA">
            <w:pPr>
              <w:jc w:val="center"/>
              <w:rPr>
                <w:sz w:val="18"/>
                <w:szCs w:val="18"/>
              </w:rPr>
            </w:pPr>
            <w:r w:rsidRPr="00D02253">
              <w:rPr>
                <w:sz w:val="18"/>
                <w:szCs w:val="18"/>
              </w:rPr>
              <w:t>2.45</w:t>
            </w:r>
          </w:p>
        </w:tc>
        <w:tc>
          <w:tcPr>
            <w:tcW w:w="1570" w:type="dxa"/>
          </w:tcPr>
          <w:p w14:paraId="6447618E" w14:textId="77777777" w:rsidR="00D02253" w:rsidRPr="00D02253" w:rsidRDefault="00D02253" w:rsidP="001313CA">
            <w:pPr>
              <w:jc w:val="center"/>
              <w:rPr>
                <w:sz w:val="18"/>
                <w:szCs w:val="18"/>
              </w:rPr>
            </w:pPr>
            <w:r w:rsidRPr="00D02253">
              <w:rPr>
                <w:sz w:val="18"/>
                <w:szCs w:val="18"/>
              </w:rPr>
              <w:t>4.87</w:t>
            </w:r>
          </w:p>
        </w:tc>
      </w:tr>
      <w:tr w:rsidR="00D02253" w:rsidRPr="00D02253" w14:paraId="493506D8" w14:textId="77777777" w:rsidTr="009F2CBC">
        <w:trPr>
          <w:trHeight w:val="205"/>
          <w:jc w:val="center"/>
        </w:trPr>
        <w:tc>
          <w:tcPr>
            <w:tcW w:w="1646" w:type="dxa"/>
          </w:tcPr>
          <w:p w14:paraId="59023FE0" w14:textId="77777777" w:rsidR="00D02253" w:rsidRPr="00D02253" w:rsidRDefault="00D02253" w:rsidP="001313CA">
            <w:pPr>
              <w:jc w:val="center"/>
              <w:rPr>
                <w:sz w:val="18"/>
                <w:szCs w:val="18"/>
              </w:rPr>
            </w:pPr>
            <w:r w:rsidRPr="00D02253">
              <w:rPr>
                <w:sz w:val="18"/>
                <w:szCs w:val="18"/>
              </w:rPr>
              <w:t>TNT equivalency</w:t>
            </w:r>
          </w:p>
        </w:tc>
        <w:tc>
          <w:tcPr>
            <w:tcW w:w="2739" w:type="dxa"/>
          </w:tcPr>
          <w:p w14:paraId="46595914" w14:textId="77777777" w:rsidR="00D02253" w:rsidRPr="00D02253" w:rsidRDefault="00D02253" w:rsidP="001313CA">
            <w:pPr>
              <w:jc w:val="center"/>
              <w:rPr>
                <w:sz w:val="18"/>
                <w:szCs w:val="18"/>
              </w:rPr>
            </w:pPr>
            <w:r w:rsidRPr="00D02253">
              <w:rPr>
                <w:sz w:val="18"/>
                <w:szCs w:val="18"/>
              </w:rPr>
              <w:t>Yield=5%</w:t>
            </w:r>
          </w:p>
        </w:tc>
        <w:tc>
          <w:tcPr>
            <w:tcW w:w="1738" w:type="dxa"/>
          </w:tcPr>
          <w:p w14:paraId="6CBB32E6" w14:textId="77777777" w:rsidR="00D02253" w:rsidRPr="00D02253" w:rsidRDefault="00D02253" w:rsidP="001313CA">
            <w:pPr>
              <w:jc w:val="center"/>
              <w:rPr>
                <w:sz w:val="18"/>
                <w:szCs w:val="18"/>
              </w:rPr>
            </w:pPr>
            <w:r w:rsidRPr="00D02253">
              <w:rPr>
                <w:sz w:val="18"/>
                <w:szCs w:val="18"/>
              </w:rPr>
              <w:t>1.50</w:t>
            </w:r>
          </w:p>
        </w:tc>
        <w:tc>
          <w:tcPr>
            <w:tcW w:w="1738" w:type="dxa"/>
          </w:tcPr>
          <w:p w14:paraId="649C8B34" w14:textId="77777777" w:rsidR="00D02253" w:rsidRPr="00D02253" w:rsidRDefault="00D02253" w:rsidP="001313CA">
            <w:pPr>
              <w:jc w:val="center"/>
              <w:rPr>
                <w:sz w:val="18"/>
                <w:szCs w:val="18"/>
              </w:rPr>
            </w:pPr>
            <w:r w:rsidRPr="00D02253">
              <w:rPr>
                <w:sz w:val="18"/>
                <w:szCs w:val="18"/>
              </w:rPr>
              <w:t>1.94</w:t>
            </w:r>
          </w:p>
        </w:tc>
        <w:tc>
          <w:tcPr>
            <w:tcW w:w="1570" w:type="dxa"/>
          </w:tcPr>
          <w:p w14:paraId="64952839" w14:textId="77777777" w:rsidR="00D02253" w:rsidRPr="00D02253" w:rsidRDefault="00D02253" w:rsidP="001313CA">
            <w:pPr>
              <w:jc w:val="center"/>
              <w:rPr>
                <w:sz w:val="18"/>
                <w:szCs w:val="18"/>
              </w:rPr>
            </w:pPr>
            <w:r w:rsidRPr="00D02253">
              <w:rPr>
                <w:sz w:val="18"/>
                <w:szCs w:val="18"/>
              </w:rPr>
              <w:t>3.86</w:t>
            </w:r>
          </w:p>
        </w:tc>
      </w:tr>
      <w:tr w:rsidR="00D02253" w:rsidRPr="00D02253" w14:paraId="085F5823" w14:textId="77777777" w:rsidTr="009F2CBC">
        <w:trPr>
          <w:trHeight w:val="205"/>
          <w:jc w:val="center"/>
        </w:trPr>
        <w:tc>
          <w:tcPr>
            <w:tcW w:w="1646" w:type="dxa"/>
          </w:tcPr>
          <w:p w14:paraId="12547B24" w14:textId="77777777" w:rsidR="00D02253" w:rsidRPr="00D02253" w:rsidRDefault="00D02253" w:rsidP="001313CA">
            <w:pPr>
              <w:jc w:val="center"/>
              <w:rPr>
                <w:sz w:val="18"/>
                <w:szCs w:val="18"/>
              </w:rPr>
            </w:pPr>
            <w:r w:rsidRPr="00D02253">
              <w:rPr>
                <w:sz w:val="18"/>
                <w:szCs w:val="18"/>
              </w:rPr>
              <w:t>TNT equivalency</w:t>
            </w:r>
          </w:p>
        </w:tc>
        <w:tc>
          <w:tcPr>
            <w:tcW w:w="2739" w:type="dxa"/>
          </w:tcPr>
          <w:p w14:paraId="4E04D26B" w14:textId="77777777" w:rsidR="00D02253" w:rsidRPr="00D02253" w:rsidRDefault="00D02253" w:rsidP="001313CA">
            <w:pPr>
              <w:jc w:val="center"/>
              <w:rPr>
                <w:sz w:val="18"/>
                <w:szCs w:val="18"/>
              </w:rPr>
            </w:pPr>
            <w:r w:rsidRPr="00D02253">
              <w:rPr>
                <w:sz w:val="18"/>
                <w:szCs w:val="18"/>
              </w:rPr>
              <w:t>Yield=1%</w:t>
            </w:r>
          </w:p>
        </w:tc>
        <w:tc>
          <w:tcPr>
            <w:tcW w:w="1738" w:type="dxa"/>
          </w:tcPr>
          <w:p w14:paraId="2A093182" w14:textId="77777777" w:rsidR="00D02253" w:rsidRPr="00D02253" w:rsidRDefault="00D02253" w:rsidP="001313CA">
            <w:pPr>
              <w:jc w:val="center"/>
              <w:rPr>
                <w:sz w:val="18"/>
                <w:szCs w:val="18"/>
              </w:rPr>
            </w:pPr>
            <w:r w:rsidRPr="00D02253">
              <w:rPr>
                <w:sz w:val="18"/>
                <w:szCs w:val="18"/>
              </w:rPr>
              <w:t>0.88</w:t>
            </w:r>
          </w:p>
        </w:tc>
        <w:tc>
          <w:tcPr>
            <w:tcW w:w="1738" w:type="dxa"/>
          </w:tcPr>
          <w:p w14:paraId="3DBD0B83" w14:textId="77777777" w:rsidR="00D02253" w:rsidRPr="00D02253" w:rsidRDefault="00D02253" w:rsidP="001313CA">
            <w:pPr>
              <w:jc w:val="center"/>
              <w:rPr>
                <w:sz w:val="18"/>
                <w:szCs w:val="18"/>
              </w:rPr>
            </w:pPr>
            <w:r w:rsidRPr="00D02253">
              <w:rPr>
                <w:sz w:val="18"/>
                <w:szCs w:val="18"/>
              </w:rPr>
              <w:t>1.14</w:t>
            </w:r>
          </w:p>
        </w:tc>
        <w:tc>
          <w:tcPr>
            <w:tcW w:w="1570" w:type="dxa"/>
          </w:tcPr>
          <w:p w14:paraId="186F7EC7" w14:textId="77777777" w:rsidR="00D02253" w:rsidRPr="00D02253" w:rsidRDefault="00D02253" w:rsidP="001313CA">
            <w:pPr>
              <w:jc w:val="center"/>
              <w:rPr>
                <w:sz w:val="18"/>
                <w:szCs w:val="18"/>
              </w:rPr>
            </w:pPr>
            <w:r w:rsidRPr="00D02253">
              <w:rPr>
                <w:sz w:val="18"/>
                <w:szCs w:val="18"/>
              </w:rPr>
              <w:t>2.26</w:t>
            </w:r>
          </w:p>
        </w:tc>
      </w:tr>
    </w:tbl>
    <w:p w14:paraId="5312F68E" w14:textId="7FE8AB77" w:rsidR="009F2CBC" w:rsidRDefault="00132BE7" w:rsidP="00132BE7">
      <w:pPr>
        <w:pStyle w:val="NormalWeb"/>
        <w:jc w:val="both"/>
        <w:rPr>
          <w:sz w:val="20"/>
          <w:szCs w:val="20"/>
          <w:rtl/>
        </w:rPr>
      </w:pPr>
      <w:r>
        <w:rPr>
          <w:rStyle w:val="Strong"/>
          <w:rFonts w:hint="cs"/>
          <w:b w:val="0"/>
          <w:bCs w:val="0"/>
          <w:sz w:val="20"/>
          <w:szCs w:val="20"/>
          <w:rtl/>
        </w:rPr>
        <w:t xml:space="preserve">   </w:t>
      </w:r>
      <w:r w:rsidR="00970ECE" w:rsidRPr="00970ECE">
        <w:rPr>
          <w:rStyle w:val="Strong"/>
          <w:b w:val="0"/>
          <w:bCs w:val="0"/>
          <w:sz w:val="20"/>
          <w:szCs w:val="20"/>
        </w:rPr>
        <w:t>Figure 1</w:t>
      </w:r>
      <w:r w:rsidR="00970ECE" w:rsidRPr="00970ECE">
        <w:rPr>
          <w:sz w:val="20"/>
          <w:szCs w:val="20"/>
        </w:rPr>
        <w:t xml:space="preserve"> shows the overpressure decay with distance for the 20 mm leak case, comparing BST, TNT (yield = 10%), and TNO Multi-Energy models. The logarithmic scale highlights that BST predicts the highest overpressures at all distances, TNT is intermediate depending on the assumed yield, and multi-energy predicts the lowest overpressures. These differences are particularly significant at short distances (&lt;50 m), which are critical for layout screening and fire-zone determination. At larger distances, model predictions converge, but the divergence at critical thresholds (0.2 bar, 0.14 bar, 0.05 bar) emphasizes the need for an envelope approach in defining conservative safety distances.</w:t>
      </w:r>
      <w:r w:rsidR="00970ECE">
        <w:rPr>
          <w:sz w:val="20"/>
          <w:szCs w:val="20"/>
        </w:rPr>
        <w:t xml:space="preserve">    </w:t>
      </w:r>
    </w:p>
    <w:p w14:paraId="7DBA3A2F" w14:textId="24C27519" w:rsidR="00970ECE" w:rsidRPr="00970ECE" w:rsidRDefault="00970ECE" w:rsidP="00132BE7">
      <w:pPr>
        <w:pStyle w:val="NormalWeb"/>
        <w:spacing w:before="0" w:beforeAutospacing="0" w:after="0" w:afterAutospacing="0"/>
        <w:jc w:val="center"/>
        <w:rPr>
          <w:sz w:val="20"/>
          <w:szCs w:val="20"/>
          <w:rtl/>
        </w:rPr>
      </w:pPr>
      <w:r>
        <w:rPr>
          <w:sz w:val="20"/>
          <w:szCs w:val="20"/>
        </w:rPr>
        <w:lastRenderedPageBreak/>
        <w:t xml:space="preserve">      </w:t>
      </w:r>
      <w:r w:rsidR="00EC249C" w:rsidRPr="0049078E">
        <w:rPr>
          <w:noProof/>
          <w:sz w:val="40"/>
          <w:szCs w:val="40"/>
          <w:lang w:bidi="fa-IR"/>
        </w:rPr>
        <w:drawing>
          <wp:inline distT="0" distB="0" distL="0" distR="0" wp14:anchorId="3D8F24D5" wp14:editId="4066592D">
            <wp:extent cx="4623899" cy="2403764"/>
            <wp:effectExtent l="0" t="0" r="5715" b="0"/>
            <wp:docPr id="928914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914254" name=""/>
                    <pic:cNvPicPr/>
                  </pic:nvPicPr>
                  <pic:blipFill rotWithShape="1">
                    <a:blip r:embed="rId8"/>
                    <a:srcRect l="6028" t="9445" r="8133" b="3826"/>
                    <a:stretch>
                      <a:fillRect/>
                    </a:stretch>
                  </pic:blipFill>
                  <pic:spPr bwMode="auto">
                    <a:xfrm>
                      <a:off x="0" y="0"/>
                      <a:ext cx="4702041" cy="2444387"/>
                    </a:xfrm>
                    <a:prstGeom prst="rect">
                      <a:avLst/>
                    </a:prstGeom>
                    <a:ln>
                      <a:noFill/>
                    </a:ln>
                    <a:extLst>
                      <a:ext uri="{53640926-AAD7-44D8-BBD7-CCE9431645EC}">
                        <a14:shadowObscured xmlns:a14="http://schemas.microsoft.com/office/drawing/2010/main"/>
                      </a:ext>
                    </a:extLst>
                  </pic:spPr>
                </pic:pic>
              </a:graphicData>
            </a:graphic>
          </wp:inline>
        </w:drawing>
      </w:r>
    </w:p>
    <w:p w14:paraId="2152CA89" w14:textId="747F637B" w:rsidR="00964B6A" w:rsidRPr="00132BE7" w:rsidRDefault="00970ECE" w:rsidP="00970ECE">
      <w:pPr>
        <w:pStyle w:val="NormalWeb"/>
        <w:spacing w:before="0" w:beforeAutospacing="0"/>
        <w:jc w:val="center"/>
        <w:rPr>
          <w:b/>
          <w:bCs/>
          <w:sz w:val="18"/>
          <w:szCs w:val="18"/>
        </w:rPr>
      </w:pPr>
      <w:r w:rsidRPr="00970ECE">
        <w:rPr>
          <w:rStyle w:val="Strong"/>
          <w:sz w:val="18"/>
          <w:szCs w:val="18"/>
        </w:rPr>
        <w:t>Figure 1</w:t>
      </w:r>
      <w:r w:rsidRPr="00970ECE">
        <w:rPr>
          <w:rStyle w:val="Strong"/>
          <w:rFonts w:hint="cs"/>
          <w:sz w:val="18"/>
          <w:szCs w:val="18"/>
          <w:rtl/>
        </w:rPr>
        <w:t xml:space="preserve"> </w:t>
      </w:r>
      <w:r w:rsidRPr="00132BE7">
        <w:rPr>
          <w:b/>
          <w:bCs/>
          <w:sz w:val="18"/>
          <w:szCs w:val="18"/>
        </w:rPr>
        <w:t>Overpressure vs. distance for the 20 mm leak scenario using BST, TNT, and TNO Multi-Energy models</w:t>
      </w:r>
      <w:r w:rsidRPr="00132BE7">
        <w:rPr>
          <w:rFonts w:hint="cs"/>
          <w:b/>
          <w:bCs/>
          <w:sz w:val="18"/>
          <w:szCs w:val="18"/>
          <w:rtl/>
        </w:rPr>
        <w:t>.</w:t>
      </w:r>
    </w:p>
    <w:p w14:paraId="66A82D8E" w14:textId="77777777" w:rsidR="00964B6A" w:rsidRDefault="00964B6A" w:rsidP="001313CA">
      <w:pPr>
        <w:jc w:val="center"/>
      </w:pPr>
    </w:p>
    <w:p w14:paraId="37F4BB83" w14:textId="77777777" w:rsidR="00D02253" w:rsidRPr="00DF0A7C" w:rsidRDefault="00D02253" w:rsidP="00DF0A7C">
      <w:pPr>
        <w:jc w:val="both"/>
        <w:rPr>
          <w:sz w:val="22"/>
          <w:szCs w:val="22"/>
        </w:rPr>
      </w:pPr>
      <w:r w:rsidRPr="00DF0A7C">
        <w:rPr>
          <w:b/>
          <w:sz w:val="22"/>
          <w:szCs w:val="22"/>
        </w:rPr>
        <w:t>4.2 Implications for Safety Distance Selection</w:t>
      </w:r>
    </w:p>
    <w:p w14:paraId="42CA4FE8" w14:textId="0FD43394" w:rsidR="00D02253" w:rsidRDefault="00DF0A7C" w:rsidP="00DF0A7C">
      <w:pPr>
        <w:jc w:val="both"/>
      </w:pPr>
      <w:r>
        <w:rPr>
          <w:rFonts w:hint="cs"/>
          <w:rtl/>
        </w:rPr>
        <w:t xml:space="preserve">   </w:t>
      </w:r>
      <w:r w:rsidR="00D02253">
        <w:t>Using the GS EP SAF 253 criterion of 0.2 bar, the safety distance for the 20 mm case ranges from 0.88–1.89 m for TNT depending on yield, 1.72 m for Multi‑Energy, and 3.84 m for BST. Under an envelope approach, BST governs the conservative fire‑zone boundary when congestion/confinement justifies a high‑strength representation.</w:t>
      </w:r>
    </w:p>
    <w:p w14:paraId="6267884B" w14:textId="77777777" w:rsidR="004C59EE" w:rsidRDefault="00DF0A7C" w:rsidP="004C59EE">
      <w:pPr>
        <w:jc w:val="both"/>
      </w:pPr>
      <w:r>
        <w:rPr>
          <w:rFonts w:hint="cs"/>
          <w:rtl/>
        </w:rPr>
        <w:t xml:space="preserve">   </w:t>
      </w:r>
      <w:r w:rsidR="00D02253">
        <w:t>At lower overpressure thresholds (0.14 and 0.05 bar), model divergence becomes larger. This is important for siting decisions, as low overpressures can still affect lightweight structures, instrumentation, and secondary hazards [</w:t>
      </w:r>
      <w:r w:rsidR="00792013">
        <w:t>14,</w:t>
      </w:r>
      <w:r w:rsidR="00D02253">
        <w:t>1</w:t>
      </w:r>
      <w:r w:rsidR="00792013">
        <w:t>5</w:t>
      </w:r>
      <w:r w:rsidR="00D02253">
        <w:t>].</w:t>
      </w:r>
      <w:r w:rsidR="004C59EE" w:rsidRPr="004C59EE">
        <w:t xml:space="preserve"> </w:t>
      </w:r>
      <w:r w:rsidR="004C59EE">
        <w:t xml:space="preserve">   </w:t>
      </w:r>
    </w:p>
    <w:p w14:paraId="66683D6A" w14:textId="46169DFD" w:rsidR="00D02253" w:rsidRDefault="004C59EE" w:rsidP="004C59EE">
      <w:pPr>
        <w:spacing w:after="120"/>
        <w:jc w:val="both"/>
      </w:pPr>
      <w:r>
        <w:t xml:space="preserve">   </w:t>
      </w:r>
      <w:r w:rsidRPr="004C59EE">
        <w:t>It should be noted that the relatively small safety distances obtained in this study are primarily due to the availability of accessible materials with analytical and analytical sizes and the rapid dispersion characteristics of hydrogen-rich gases. Therefore, the results represent the design of local fire zone boundaries for screening, not plant siting distances in the larger region.</w:t>
      </w:r>
    </w:p>
    <w:p w14:paraId="4808E5F2" w14:textId="45B4F557" w:rsidR="00D02253" w:rsidRPr="00DF0A7C" w:rsidRDefault="00D02253" w:rsidP="00DF0A7C">
      <w:pPr>
        <w:jc w:val="both"/>
        <w:rPr>
          <w:sz w:val="22"/>
          <w:szCs w:val="22"/>
        </w:rPr>
      </w:pPr>
      <w:r w:rsidRPr="00DF0A7C">
        <w:rPr>
          <w:b/>
          <w:sz w:val="22"/>
          <w:szCs w:val="22"/>
        </w:rPr>
        <w:t xml:space="preserve">4.3 </w:t>
      </w:r>
      <w:r w:rsidR="004C59EE" w:rsidRPr="004C59EE">
        <w:rPr>
          <w:rFonts w:asciiTheme="majorBidi" w:hAnsiTheme="majorBidi" w:cstheme="majorBidi"/>
          <w:b/>
          <w:bCs/>
          <w:color w:val="000000"/>
          <w:shd w:val="clear" w:color="auto" w:fill="FFFFFF"/>
        </w:rPr>
        <w:t>Expected Scaling Behaviour for Larger Leak</w:t>
      </w:r>
      <w:r w:rsidR="004C59EE" w:rsidRPr="004C59EE">
        <w:rPr>
          <w:rFonts w:ascii="Vazirmatn" w:hAnsi="Vazirmatn"/>
          <w:b/>
          <w:bCs/>
          <w:color w:val="000000"/>
          <w:shd w:val="clear" w:color="auto" w:fill="FFFFFF"/>
        </w:rPr>
        <w:t xml:space="preserve"> </w:t>
      </w:r>
      <w:r w:rsidR="004C59EE" w:rsidRPr="004C59EE">
        <w:rPr>
          <w:rFonts w:asciiTheme="majorBidi" w:hAnsiTheme="majorBidi" w:cstheme="majorBidi"/>
          <w:b/>
          <w:bCs/>
          <w:color w:val="000000"/>
          <w:shd w:val="clear" w:color="auto" w:fill="FFFFFF"/>
        </w:rPr>
        <w:t>Sizes</w:t>
      </w:r>
      <w:r w:rsidR="004C59EE" w:rsidRPr="00DF0A7C">
        <w:rPr>
          <w:b/>
          <w:sz w:val="22"/>
          <w:szCs w:val="22"/>
        </w:rPr>
        <w:t xml:space="preserve"> </w:t>
      </w:r>
      <w:r w:rsidRPr="00DF0A7C">
        <w:rPr>
          <w:b/>
          <w:sz w:val="22"/>
          <w:szCs w:val="22"/>
        </w:rPr>
        <w:t>(50, 80 mm)</w:t>
      </w:r>
    </w:p>
    <w:p w14:paraId="38EF3690" w14:textId="24619139" w:rsidR="00792013" w:rsidRDefault="00DF0A7C" w:rsidP="00792013">
      <w:pPr>
        <w:spacing w:after="120"/>
        <w:jc w:val="both"/>
      </w:pPr>
      <w:r>
        <w:rPr>
          <w:rFonts w:hint="cs"/>
          <w:rtl/>
        </w:rPr>
        <w:t xml:space="preserve">   </w:t>
      </w:r>
      <w:r w:rsidR="00D02253">
        <w:t>For larger leak diameters (50 and 80 mm), the flammable cloud size and therefore the explosion energy potential generally increase, so larger safety distances are expected. The same workflow should be repeated for each leak size, ensuring that the dispersion basis (LFL threshold, release duration assumptions, and meteorology) is consistent. In practice, the final safety distance for the unit is often taken as the maximum distance among the analysed leak sizes at the governing criterion</w:t>
      </w:r>
      <w:r w:rsidR="00792013">
        <w:t>[4,8]</w:t>
      </w:r>
      <w:r w:rsidR="00D02253">
        <w:t>.</w:t>
      </w:r>
      <w:r w:rsidR="004C59EE" w:rsidRPr="004C59EE">
        <w:rPr>
          <w:rFonts w:ascii="Vazirmatn" w:hAnsi="Vazirmatn"/>
          <w:color w:val="000000"/>
          <w:shd w:val="clear" w:color="auto" w:fill="FFFFFF"/>
        </w:rPr>
        <w:t xml:space="preserve"> </w:t>
      </w:r>
      <w:r w:rsidR="004C59EE" w:rsidRPr="004C59EE">
        <w:rPr>
          <w:rFonts w:asciiTheme="majorBidi" w:hAnsiTheme="majorBidi" w:cstheme="majorBidi"/>
          <w:color w:val="000000"/>
          <w:shd w:val="clear" w:color="auto" w:fill="FFFFFF"/>
        </w:rPr>
        <w:t>A detailed quantitative comparison for the 50 and 80 mm cases follows the same modelling logic and is omitted here for brevity.</w:t>
      </w:r>
    </w:p>
    <w:p w14:paraId="42BDA3E1" w14:textId="77777777" w:rsidR="00D02253" w:rsidRPr="00DF0A7C" w:rsidRDefault="00D02253" w:rsidP="00DF0A7C">
      <w:pPr>
        <w:jc w:val="both"/>
        <w:rPr>
          <w:sz w:val="18"/>
          <w:szCs w:val="18"/>
        </w:rPr>
      </w:pPr>
      <w:r w:rsidRPr="00DF0A7C">
        <w:rPr>
          <w:b/>
          <w:sz w:val="22"/>
          <w:szCs w:val="18"/>
        </w:rPr>
        <w:t>5. Conclusions</w:t>
      </w:r>
    </w:p>
    <w:p w14:paraId="0044BFF7" w14:textId="7B877972" w:rsidR="00D02253" w:rsidRDefault="00DF0A7C" w:rsidP="00DF0A7C">
      <w:pPr>
        <w:jc w:val="both"/>
      </w:pPr>
      <w:r>
        <w:rPr>
          <w:rFonts w:hint="cs"/>
          <w:rtl/>
        </w:rPr>
        <w:t xml:space="preserve">   </w:t>
      </w:r>
      <w:r w:rsidR="00D02253">
        <w:t>A consistent PHAST 8.4 workflow was developed to estimate VCE safety distances for a PSA unit and to compare TNT equivalency, BST, and TNO Multi‑Energy models. The governing criterion for explosion fire‑zone definition was 200 mbar (0.2 bar) in accordance with GS EP SAF 253.</w:t>
      </w:r>
    </w:p>
    <w:p w14:paraId="6885164F" w14:textId="35D14088" w:rsidR="00D02253" w:rsidRDefault="00DF0A7C" w:rsidP="00DF0A7C">
      <w:pPr>
        <w:jc w:val="both"/>
      </w:pPr>
      <w:r>
        <w:rPr>
          <w:rFonts w:hint="cs"/>
          <w:rtl/>
        </w:rPr>
        <w:t xml:space="preserve">   </w:t>
      </w:r>
      <w:r w:rsidR="00D02253">
        <w:t>For the 20 mm case, BST predicted the largest overpressure radii (3.84 m at 0.2 bar and 12.65 m at 0.05 bar), Multi‑Energy predicted smaller radii (1.72 m at 0.2 bar and 5.64 m at 0.05 bar), and TNT results varied widely with yield (0.88–1.89 m at 0.2068 bar). Therefore, TNT should not be presented without a clearly justified yield assumption.</w:t>
      </w:r>
    </w:p>
    <w:p w14:paraId="569BD6AE" w14:textId="0C8C84FB" w:rsidR="00792013" w:rsidRDefault="00DF0A7C" w:rsidP="00792013">
      <w:pPr>
        <w:spacing w:after="120"/>
        <w:jc w:val="both"/>
      </w:pPr>
      <w:r>
        <w:rPr>
          <w:rFonts w:hint="cs"/>
          <w:rtl/>
        </w:rPr>
        <w:t xml:space="preserve">   </w:t>
      </w:r>
      <w:r w:rsidR="00D02253">
        <w:t>The study recommends an envelope approach: report model assumptions transparently, justify the model strength by congestion/confinement, and adopt the most conservative distance at the governing criterion as the safety distance used for layout screening and risk communication.</w:t>
      </w:r>
    </w:p>
    <w:p w14:paraId="3F738FAA" w14:textId="77777777" w:rsidR="00683253" w:rsidRDefault="00683253" w:rsidP="00792013">
      <w:pPr>
        <w:spacing w:after="120"/>
        <w:jc w:val="both"/>
      </w:pPr>
    </w:p>
    <w:p w14:paraId="7C1F85A0" w14:textId="77777777" w:rsidR="000B200C" w:rsidRDefault="000B200C" w:rsidP="009D33EC">
      <w:pPr>
        <w:spacing w:line="276" w:lineRule="auto"/>
        <w:jc w:val="both"/>
      </w:pPr>
      <w:r w:rsidRPr="008F0574">
        <w:rPr>
          <w:b/>
          <w:bCs/>
          <w:sz w:val="22"/>
          <w:szCs w:val="22"/>
        </w:rPr>
        <w:t>References</w:t>
      </w:r>
      <w:r>
        <w:t xml:space="preserve"> </w:t>
      </w:r>
    </w:p>
    <w:p w14:paraId="628C1674" w14:textId="24855E63" w:rsidR="009D33EC" w:rsidRDefault="009D33EC" w:rsidP="009D33EC">
      <w:pPr>
        <w:spacing w:line="276" w:lineRule="auto"/>
        <w:jc w:val="both"/>
      </w:pPr>
      <w:r>
        <w:t xml:space="preserve">[1] </w:t>
      </w:r>
      <w:r>
        <w:rPr>
          <w:rFonts w:hint="cs"/>
          <w:rtl/>
        </w:rPr>
        <w:t xml:space="preserve"> </w:t>
      </w:r>
      <w:r>
        <w:t>Lees, F. P., 2012. Lees’ Loss Prevention in the Process Industries, 4th ed., Elsevier, Oxford, UK.</w:t>
      </w:r>
    </w:p>
    <w:p w14:paraId="33463B08" w14:textId="2B82BD9B" w:rsidR="009D33EC" w:rsidRDefault="009D33EC" w:rsidP="009D33EC">
      <w:pPr>
        <w:spacing w:line="276" w:lineRule="auto"/>
        <w:jc w:val="both"/>
      </w:pPr>
      <w:r>
        <w:t>[2]</w:t>
      </w:r>
      <w:r>
        <w:rPr>
          <w:rFonts w:hint="cs"/>
          <w:rtl/>
        </w:rPr>
        <w:t xml:space="preserve"> </w:t>
      </w:r>
      <w:r>
        <w:t xml:space="preserve"> DNV GL, 2019. PHAST 8.4 User Documentation, DNV GL Software, Høvik, Norway.</w:t>
      </w:r>
    </w:p>
    <w:p w14:paraId="2853620C" w14:textId="51B09B47" w:rsidR="009D33EC" w:rsidRDefault="009D33EC" w:rsidP="009D33EC">
      <w:pPr>
        <w:spacing w:line="276" w:lineRule="auto"/>
        <w:jc w:val="both"/>
      </w:pPr>
      <w:r>
        <w:t>[3]</w:t>
      </w:r>
      <w:r>
        <w:rPr>
          <w:rFonts w:hint="cs"/>
          <w:rtl/>
        </w:rPr>
        <w:t xml:space="preserve"> </w:t>
      </w:r>
      <w:r>
        <w:t xml:space="preserve"> TotalEnergies, 2018. GS EP SAF 253: Fire Zones and Safety Distances, TotalEnergies Global Standard.</w:t>
      </w:r>
    </w:p>
    <w:p w14:paraId="21E52C6B" w14:textId="7F41E6EE" w:rsidR="009D33EC" w:rsidRDefault="009D33EC" w:rsidP="009D33EC">
      <w:pPr>
        <w:spacing w:line="276" w:lineRule="auto"/>
        <w:jc w:val="both"/>
      </w:pPr>
      <w:r>
        <w:t xml:space="preserve">[4] </w:t>
      </w:r>
      <w:r>
        <w:rPr>
          <w:rFonts w:hint="cs"/>
          <w:rtl/>
        </w:rPr>
        <w:t xml:space="preserve"> </w:t>
      </w:r>
      <w:r>
        <w:t>CCPS (Center for Chemical Process Safety), 2010. Guidelines for Chemical Process Quantitative Risk    Analysis, 2nd ed., AIChE, New York, USA.</w:t>
      </w:r>
    </w:p>
    <w:p w14:paraId="6FE5D857" w14:textId="1E452722" w:rsidR="009D33EC" w:rsidRDefault="009D33EC" w:rsidP="009D33EC">
      <w:pPr>
        <w:spacing w:line="276" w:lineRule="auto"/>
        <w:jc w:val="both"/>
      </w:pPr>
      <w:r>
        <w:lastRenderedPageBreak/>
        <w:t xml:space="preserve">[5] </w:t>
      </w:r>
      <w:r>
        <w:rPr>
          <w:rFonts w:hint="cs"/>
          <w:rtl/>
        </w:rPr>
        <w:t xml:space="preserve"> </w:t>
      </w:r>
      <w:r>
        <w:t>Department of Defense, 2008. UFC 3-340-02: Structures to Resist the Effects of Accidental Explosions (formerly TM 5-1300), Washington, DC, USA.</w:t>
      </w:r>
    </w:p>
    <w:p w14:paraId="5FA968C8" w14:textId="5DFB01C4" w:rsidR="009D33EC" w:rsidRDefault="009D33EC" w:rsidP="009D33EC">
      <w:pPr>
        <w:spacing w:line="276" w:lineRule="auto"/>
        <w:jc w:val="both"/>
      </w:pPr>
      <w:r>
        <w:t xml:space="preserve">[6] </w:t>
      </w:r>
      <w:r>
        <w:rPr>
          <w:rFonts w:hint="cs"/>
          <w:rtl/>
        </w:rPr>
        <w:t xml:space="preserve"> </w:t>
      </w:r>
      <w:r>
        <w:t>TNO, 2005. Methods for the Calculation of Physical Effects (Yellow Book), 3rd ed., The Hague, The Netherlands.</w:t>
      </w:r>
    </w:p>
    <w:p w14:paraId="7C84E3AE" w14:textId="77777777" w:rsidR="00683253" w:rsidRDefault="00683253" w:rsidP="009D33EC">
      <w:pPr>
        <w:spacing w:line="276" w:lineRule="auto"/>
        <w:jc w:val="both"/>
      </w:pPr>
    </w:p>
    <w:p w14:paraId="024753AC" w14:textId="77777777" w:rsidR="00683253" w:rsidRDefault="00683253" w:rsidP="009D33EC">
      <w:pPr>
        <w:spacing w:line="276" w:lineRule="auto"/>
        <w:jc w:val="both"/>
      </w:pPr>
    </w:p>
    <w:p w14:paraId="0D886D9F" w14:textId="77777777" w:rsidR="00683253" w:rsidRDefault="00683253" w:rsidP="009D33EC">
      <w:pPr>
        <w:spacing w:line="276" w:lineRule="auto"/>
        <w:jc w:val="both"/>
      </w:pPr>
    </w:p>
    <w:p w14:paraId="01259F25" w14:textId="186F415E" w:rsidR="009D33EC" w:rsidRDefault="009D33EC" w:rsidP="009D33EC">
      <w:pPr>
        <w:spacing w:line="276" w:lineRule="auto"/>
        <w:jc w:val="both"/>
      </w:pPr>
      <w:r>
        <w:t>[7]</w:t>
      </w:r>
      <w:r>
        <w:rPr>
          <w:rFonts w:hint="cs"/>
          <w:rtl/>
        </w:rPr>
        <w:t xml:space="preserve"> </w:t>
      </w:r>
      <w:r>
        <w:t>Baker, Q. A., Strehlow, R. A., and Tang, M. J., 1994. A model for prediction of vapour cloud explosion overpressures (BST method), in: Proceedings of the International Conference on Loss Prevention, Institution of Chemical Engineers, UK.</w:t>
      </w:r>
    </w:p>
    <w:p w14:paraId="1B5703CB" w14:textId="3FC1FD27" w:rsidR="009D33EC" w:rsidRDefault="009D33EC" w:rsidP="009D33EC">
      <w:pPr>
        <w:spacing w:line="276" w:lineRule="auto"/>
        <w:jc w:val="both"/>
      </w:pPr>
      <w:r>
        <w:t>[8]</w:t>
      </w:r>
      <w:r>
        <w:rPr>
          <w:rFonts w:hint="cs"/>
          <w:rtl/>
        </w:rPr>
        <w:t xml:space="preserve"> </w:t>
      </w:r>
      <w:r>
        <w:t>IOGP, 2019. Risk Assessment Data Directory: Process Release Frequencies and Ignition Probabilities, Report 434-01, International Association of Oil &amp; Gas Producers, London, UK.</w:t>
      </w:r>
    </w:p>
    <w:p w14:paraId="743942CF" w14:textId="63D575D2" w:rsidR="009D33EC" w:rsidRDefault="009D33EC" w:rsidP="009D33EC">
      <w:pPr>
        <w:spacing w:line="276" w:lineRule="auto"/>
        <w:jc w:val="both"/>
      </w:pPr>
      <w:r>
        <w:t>[9]</w:t>
      </w:r>
      <w:r>
        <w:rPr>
          <w:rFonts w:hint="cs"/>
          <w:rtl/>
        </w:rPr>
        <w:t xml:space="preserve"> </w:t>
      </w:r>
      <w:r>
        <w:t>NOAA NCEI, 2025. Integrated Surface Database (ISD) – Global Hourly, National Centers for Environmental Information, Asheville, NC, USA.</w:t>
      </w:r>
    </w:p>
    <w:p w14:paraId="53C4F027" w14:textId="10198BE0" w:rsidR="009D33EC" w:rsidRDefault="009D33EC" w:rsidP="009D33EC">
      <w:pPr>
        <w:spacing w:line="276" w:lineRule="auto"/>
        <w:jc w:val="both"/>
      </w:pPr>
      <w:r>
        <w:t xml:space="preserve">[10] </w:t>
      </w:r>
      <w:r>
        <w:rPr>
          <w:rFonts w:hint="cs"/>
          <w:rtl/>
        </w:rPr>
        <w:t xml:space="preserve"> </w:t>
      </w:r>
      <w:r>
        <w:t>Iowa State University, 2025. IEM MyWindrose: Windrose generation from station observations (OIAA Abadan), Iowa Environmental Mesonet, Ames, IA, USA.</w:t>
      </w:r>
    </w:p>
    <w:p w14:paraId="453DEE72" w14:textId="3F17C786" w:rsidR="009D33EC" w:rsidRDefault="009D33EC" w:rsidP="009D33EC">
      <w:pPr>
        <w:spacing w:line="276" w:lineRule="auto"/>
        <w:jc w:val="both"/>
      </w:pPr>
      <w:r>
        <w:t xml:space="preserve">[11] </w:t>
      </w:r>
      <w:r>
        <w:rPr>
          <w:rFonts w:hint="cs"/>
          <w:rtl/>
        </w:rPr>
        <w:t xml:space="preserve"> </w:t>
      </w:r>
      <w:r>
        <w:t>van den Berg, A. C., 1985. The Multi-Energy Method: a framework for vapour cloud explosion blast prediction, Journal of Hazardous Materials, 12(1), pp. 1–10.</w:t>
      </w:r>
    </w:p>
    <w:p w14:paraId="73F162ED" w14:textId="2DB5E5EA" w:rsidR="009D33EC" w:rsidRDefault="009D33EC" w:rsidP="009D33EC">
      <w:pPr>
        <w:spacing w:line="276" w:lineRule="auto"/>
        <w:jc w:val="both"/>
      </w:pPr>
      <w:r>
        <w:t>[12]</w:t>
      </w:r>
      <w:r>
        <w:rPr>
          <w:rFonts w:hint="cs"/>
          <w:rtl/>
        </w:rPr>
        <w:t xml:space="preserve"> </w:t>
      </w:r>
      <w:r>
        <w:t>Baker, Q. A., Cox, P. A., Kulesz, J. J., Strehlow, R. A., and Westine, P. S., 2012. Explosion Hazards and Evaluation, Elsevier, Amsterdam, The Netherlands.</w:t>
      </w:r>
    </w:p>
    <w:p w14:paraId="0E6D244C" w14:textId="21332582" w:rsidR="009D33EC" w:rsidRDefault="009D33EC" w:rsidP="009D33EC">
      <w:pPr>
        <w:spacing w:line="276" w:lineRule="auto"/>
        <w:jc w:val="both"/>
      </w:pPr>
      <w:r>
        <w:t>[13]</w:t>
      </w:r>
      <w:r>
        <w:rPr>
          <w:rFonts w:hint="cs"/>
          <w:rtl/>
        </w:rPr>
        <w:t xml:space="preserve"> </w:t>
      </w:r>
      <w:r>
        <w:t>HSE (Health and Safety Executive), 2010. Vapour Cloud Explosions: Guidance for Consequence Assessment, Health and Safety Executive, UK.</w:t>
      </w:r>
    </w:p>
    <w:p w14:paraId="0C163760" w14:textId="2B144ED7" w:rsidR="009D33EC" w:rsidRDefault="009D33EC" w:rsidP="009D33EC">
      <w:pPr>
        <w:spacing w:line="276" w:lineRule="auto"/>
        <w:jc w:val="both"/>
      </w:pPr>
      <w:r>
        <w:t>[14]</w:t>
      </w:r>
      <w:r>
        <w:rPr>
          <w:rFonts w:hint="cs"/>
          <w:rtl/>
        </w:rPr>
        <w:t xml:space="preserve"> </w:t>
      </w:r>
      <w:r>
        <w:t>CCPS (Center for Chemical Process Safety), 1994. Guidelines for Evaluating the Characteristics of Vapor Cloud Explosions, Flash Fires, and BLEVEs, AIChE, New York, USA.</w:t>
      </w:r>
    </w:p>
    <w:p w14:paraId="4B572774" w14:textId="2B8118E7" w:rsidR="009D33EC" w:rsidRDefault="009D33EC" w:rsidP="009D33EC">
      <w:pPr>
        <w:spacing w:line="276" w:lineRule="auto"/>
        <w:jc w:val="both"/>
      </w:pPr>
      <w:r>
        <w:t>[15]</w:t>
      </w:r>
      <w:r>
        <w:rPr>
          <w:rFonts w:hint="cs"/>
          <w:rtl/>
        </w:rPr>
        <w:t xml:space="preserve"> </w:t>
      </w:r>
      <w:r>
        <w:t>NFPA, 2018. NFPA 68: Standard on Explosion Protection by Deflagration Venting, National Fire Protection Association, Quincy, MA, USA.</w:t>
      </w:r>
    </w:p>
    <w:p w14:paraId="7C5B1466" w14:textId="75024AAF" w:rsidR="000B200C" w:rsidRDefault="000B200C" w:rsidP="009D33EC">
      <w:pPr>
        <w:spacing w:line="230" w:lineRule="auto"/>
      </w:pPr>
    </w:p>
    <w:p w14:paraId="2C84AC49" w14:textId="77777777" w:rsidR="000B200C" w:rsidRDefault="000B200C" w:rsidP="009D33EC">
      <w:pPr>
        <w:spacing w:line="230" w:lineRule="auto"/>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9D33EC">
      <w:pPr>
        <w:spacing w:line="230" w:lineRule="auto"/>
      </w:pPr>
    </w:p>
    <w:p w14:paraId="2AA3ECC0" w14:textId="77777777" w:rsidR="00992AEA" w:rsidRDefault="00992AEA" w:rsidP="009D33EC">
      <w:pPr>
        <w:spacing w:line="230" w:lineRule="auto"/>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D503" w14:textId="77777777" w:rsidR="00D96F9D" w:rsidRDefault="00D96F9D">
      <w:r>
        <w:separator/>
      </w:r>
    </w:p>
  </w:endnote>
  <w:endnote w:type="continuationSeparator" w:id="0">
    <w:p w14:paraId="5F695C60" w14:textId="77777777" w:rsidR="00D96F9D" w:rsidRDefault="00D9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azirmat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35B45" w14:textId="77777777" w:rsidR="00D96F9D" w:rsidRDefault="00D96F9D" w:rsidP="0010114F">
      <w:pPr>
        <w:bidi/>
      </w:pPr>
      <w:r>
        <w:separator/>
      </w:r>
    </w:p>
  </w:footnote>
  <w:footnote w:type="continuationSeparator" w:id="0">
    <w:p w14:paraId="54411144" w14:textId="77777777" w:rsidR="00D96F9D" w:rsidRDefault="00D9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8CF"/>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0A4E"/>
    <w:rsid w:val="001313CA"/>
    <w:rsid w:val="00131AD7"/>
    <w:rsid w:val="00132BE7"/>
    <w:rsid w:val="0013403B"/>
    <w:rsid w:val="00134809"/>
    <w:rsid w:val="001416CC"/>
    <w:rsid w:val="00142AF8"/>
    <w:rsid w:val="00153856"/>
    <w:rsid w:val="00153EED"/>
    <w:rsid w:val="00155FDD"/>
    <w:rsid w:val="00162D71"/>
    <w:rsid w:val="00162E8E"/>
    <w:rsid w:val="001643E2"/>
    <w:rsid w:val="0016451D"/>
    <w:rsid w:val="00164B5C"/>
    <w:rsid w:val="00164C34"/>
    <w:rsid w:val="00165C51"/>
    <w:rsid w:val="001663D4"/>
    <w:rsid w:val="0016778F"/>
    <w:rsid w:val="00167D2C"/>
    <w:rsid w:val="00170D48"/>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9EB"/>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3B4C"/>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C59EE"/>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253"/>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6F5C0A"/>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2013"/>
    <w:rsid w:val="0079383F"/>
    <w:rsid w:val="007A7A27"/>
    <w:rsid w:val="007C1BFF"/>
    <w:rsid w:val="007C2032"/>
    <w:rsid w:val="007C2B72"/>
    <w:rsid w:val="007D2A63"/>
    <w:rsid w:val="007D3AD8"/>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2E4"/>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3F4C"/>
    <w:rsid w:val="0085474F"/>
    <w:rsid w:val="00856157"/>
    <w:rsid w:val="00861C77"/>
    <w:rsid w:val="0086351F"/>
    <w:rsid w:val="008647A0"/>
    <w:rsid w:val="008670C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74"/>
    <w:rsid w:val="008F05E5"/>
    <w:rsid w:val="008F42B2"/>
    <w:rsid w:val="008F4320"/>
    <w:rsid w:val="008F4E46"/>
    <w:rsid w:val="008F740A"/>
    <w:rsid w:val="008F791F"/>
    <w:rsid w:val="009014A3"/>
    <w:rsid w:val="00903311"/>
    <w:rsid w:val="0090561A"/>
    <w:rsid w:val="00907877"/>
    <w:rsid w:val="00907DCB"/>
    <w:rsid w:val="0091048C"/>
    <w:rsid w:val="00910837"/>
    <w:rsid w:val="00911F66"/>
    <w:rsid w:val="009120D2"/>
    <w:rsid w:val="00914ED3"/>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4B6A"/>
    <w:rsid w:val="009664D1"/>
    <w:rsid w:val="00966F47"/>
    <w:rsid w:val="0097026F"/>
    <w:rsid w:val="0097087C"/>
    <w:rsid w:val="00970ECE"/>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4444"/>
    <w:rsid w:val="009C7616"/>
    <w:rsid w:val="009C7D79"/>
    <w:rsid w:val="009D05A9"/>
    <w:rsid w:val="009D33EC"/>
    <w:rsid w:val="009D583B"/>
    <w:rsid w:val="009D6C1F"/>
    <w:rsid w:val="009D6F8C"/>
    <w:rsid w:val="009D75DA"/>
    <w:rsid w:val="009E51ED"/>
    <w:rsid w:val="009F048E"/>
    <w:rsid w:val="009F0B9D"/>
    <w:rsid w:val="009F2CBC"/>
    <w:rsid w:val="009F465B"/>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33611"/>
    <w:rsid w:val="00A405D7"/>
    <w:rsid w:val="00A41B25"/>
    <w:rsid w:val="00A42B1C"/>
    <w:rsid w:val="00A434F8"/>
    <w:rsid w:val="00A456BB"/>
    <w:rsid w:val="00A475FE"/>
    <w:rsid w:val="00A47F51"/>
    <w:rsid w:val="00A502C1"/>
    <w:rsid w:val="00A509D4"/>
    <w:rsid w:val="00A51D6F"/>
    <w:rsid w:val="00A57167"/>
    <w:rsid w:val="00A61E53"/>
    <w:rsid w:val="00A63753"/>
    <w:rsid w:val="00A63A1E"/>
    <w:rsid w:val="00A669D2"/>
    <w:rsid w:val="00A66B63"/>
    <w:rsid w:val="00A712F6"/>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AF4BCA"/>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1E7E"/>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47DCC"/>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2253"/>
    <w:rsid w:val="00D07B47"/>
    <w:rsid w:val="00D10269"/>
    <w:rsid w:val="00D10E13"/>
    <w:rsid w:val="00D11550"/>
    <w:rsid w:val="00D11AB2"/>
    <w:rsid w:val="00D14553"/>
    <w:rsid w:val="00D14A51"/>
    <w:rsid w:val="00D21413"/>
    <w:rsid w:val="00D22140"/>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6F9D"/>
    <w:rsid w:val="00D972C0"/>
    <w:rsid w:val="00DA12A0"/>
    <w:rsid w:val="00DA2E27"/>
    <w:rsid w:val="00DA3E17"/>
    <w:rsid w:val="00DA49C8"/>
    <w:rsid w:val="00DA5D61"/>
    <w:rsid w:val="00DA7C83"/>
    <w:rsid w:val="00DB0046"/>
    <w:rsid w:val="00DB0EB3"/>
    <w:rsid w:val="00DB2B94"/>
    <w:rsid w:val="00DB2F05"/>
    <w:rsid w:val="00DB6DEA"/>
    <w:rsid w:val="00DC01C3"/>
    <w:rsid w:val="00DC27AC"/>
    <w:rsid w:val="00DC7FD8"/>
    <w:rsid w:val="00DD11A1"/>
    <w:rsid w:val="00DD1807"/>
    <w:rsid w:val="00DD1BFA"/>
    <w:rsid w:val="00DD3A5B"/>
    <w:rsid w:val="00DD67BC"/>
    <w:rsid w:val="00DD7A79"/>
    <w:rsid w:val="00DE67A4"/>
    <w:rsid w:val="00DF0A7C"/>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57E50"/>
    <w:rsid w:val="00E6095A"/>
    <w:rsid w:val="00E709DE"/>
    <w:rsid w:val="00E71223"/>
    <w:rsid w:val="00E736EC"/>
    <w:rsid w:val="00E746FC"/>
    <w:rsid w:val="00E81530"/>
    <w:rsid w:val="00E81B84"/>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249C"/>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0583A"/>
    <w:rsid w:val="00F11726"/>
    <w:rsid w:val="00F12787"/>
    <w:rsid w:val="00F1356F"/>
    <w:rsid w:val="00F1606F"/>
    <w:rsid w:val="00F1735E"/>
    <w:rsid w:val="00F2036E"/>
    <w:rsid w:val="00F2618A"/>
    <w:rsid w:val="00F2673C"/>
    <w:rsid w:val="00F31C9C"/>
    <w:rsid w:val="00F347E8"/>
    <w:rsid w:val="00F35B42"/>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4EE5"/>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253"/>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HTMLPreformatted">
    <w:name w:val="HTML Preformatted"/>
    <w:basedOn w:val="Normal"/>
    <w:link w:val="HTMLPreformattedChar"/>
    <w:semiHidden/>
    <w:unhideWhenUsed/>
    <w:rsid w:val="008670C0"/>
    <w:rPr>
      <w:rFonts w:ascii="Consolas" w:hAnsi="Consolas"/>
    </w:rPr>
  </w:style>
  <w:style w:type="character" w:customStyle="1" w:styleId="HTMLPreformattedChar">
    <w:name w:val="HTML Preformatted Char"/>
    <w:basedOn w:val="DefaultParagraphFont"/>
    <w:link w:val="HTMLPreformatted"/>
    <w:semiHidden/>
    <w:rsid w:val="008670C0"/>
    <w:rPr>
      <w:rFonts w:ascii="Consolas" w:hAnsi="Consolas" w:cs="Traditional Arabic"/>
      <w:noProof/>
    </w:rPr>
  </w:style>
  <w:style w:type="paragraph" w:styleId="ListParagraph">
    <w:name w:val="List Paragraph"/>
    <w:basedOn w:val="Normal"/>
    <w:uiPriority w:val="34"/>
    <w:qFormat/>
    <w:rsid w:val="00DC01C3"/>
    <w:pPr>
      <w:ind w:left="720"/>
      <w:contextualSpacing/>
    </w:pPr>
  </w:style>
  <w:style w:type="paragraph" w:styleId="NormalWeb">
    <w:name w:val="Normal (Web)"/>
    <w:basedOn w:val="Normal"/>
    <w:uiPriority w:val="99"/>
    <w:unhideWhenUsed/>
    <w:rsid w:val="00853F4C"/>
    <w:pPr>
      <w:spacing w:before="100" w:beforeAutospacing="1" w:after="100" w:afterAutospacing="1"/>
    </w:pPr>
    <w:rPr>
      <w:rFonts w:cs="Times New Roman"/>
      <w:noProof w:val="0"/>
      <w:sz w:val="24"/>
      <w:szCs w:val="24"/>
    </w:rPr>
  </w:style>
  <w:style w:type="paragraph" w:styleId="Caption">
    <w:name w:val="caption"/>
    <w:basedOn w:val="Normal"/>
    <w:next w:val="Normal"/>
    <w:unhideWhenUsed/>
    <w:qFormat/>
    <w:rsid w:val="00D0225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F437EFE-34BB-4E8B-80A1-508020F3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5</Pages>
  <Words>2402</Words>
  <Characters>13693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 Hosseini</cp:lastModifiedBy>
  <cp:revision>34</cp:revision>
  <cp:lastPrinted>2007-05-16T03:26:00Z</cp:lastPrinted>
  <dcterms:created xsi:type="dcterms:W3CDTF">2024-02-26T10:03:00Z</dcterms:created>
  <dcterms:modified xsi:type="dcterms:W3CDTF">2026-02-04T20:02:00Z</dcterms:modified>
</cp:coreProperties>
</file>