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1FF790E7" w14:textId="28D8EB5C" w:rsidR="00CB67CE" w:rsidRDefault="00E9700D" w:rsidP="00CB67CE">
      <w:pPr>
        <w:bidi/>
        <w:jc w:val="center"/>
        <w:rPr>
          <w:rFonts w:cs="Nazanin"/>
          <w:b/>
          <w:bCs/>
        </w:rPr>
      </w:pPr>
      <w:r w:rsidRPr="00E9700D">
        <w:rPr>
          <w:rFonts w:cs="Nazanin"/>
          <w:sz w:val="28"/>
          <w:szCs w:val="36"/>
        </w:rPr>
        <w:t>Enhancing Emergency Staff Safety: The Role of HSE Management and Training</w:t>
      </w:r>
    </w:p>
    <w:p w14:paraId="49BF59FD" w14:textId="77777777" w:rsidR="001D0698" w:rsidRDefault="001D0698" w:rsidP="001D0698">
      <w:pPr>
        <w:widowControl w:val="0"/>
        <w:jc w:val="center"/>
        <w:rPr>
          <w:rFonts w:ascii="Garamond" w:hAnsi="Garamond"/>
          <w:color w:val="000000"/>
          <w:sz w:val="18"/>
          <w:szCs w:val="18"/>
        </w:rPr>
      </w:pPr>
    </w:p>
    <w:p w14:paraId="50292023" w14:textId="5A3DE162" w:rsidR="00AC32EB" w:rsidRDefault="00AC32EB" w:rsidP="0091579B">
      <w:pPr>
        <w:spacing w:before="100" w:beforeAutospacing="1" w:after="100" w:afterAutospacing="1"/>
        <w:rPr>
          <w:rFonts w:cs="Times New Roman"/>
          <w:b/>
          <w:bCs/>
          <w:lang w:bidi="fa-IR"/>
        </w:rPr>
      </w:pPr>
    </w:p>
    <w:p w14:paraId="554E6A54" w14:textId="77777777" w:rsidR="00A11EA1" w:rsidRPr="00D7019C" w:rsidRDefault="00A11EA1" w:rsidP="00A11EA1">
      <w:pPr>
        <w:pStyle w:val="NormalWeb"/>
        <w:jc w:val="center"/>
        <w:rPr>
          <w:b/>
          <w:bCs/>
          <w:sz w:val="16"/>
          <w:szCs w:val="16"/>
        </w:rPr>
      </w:pPr>
      <w:r w:rsidRPr="00D7019C">
        <w:rPr>
          <w:rStyle w:val="Strong"/>
          <w:sz w:val="20"/>
          <w:szCs w:val="20"/>
        </w:rPr>
        <w:t xml:space="preserve">Mohammad </w:t>
      </w:r>
      <w:proofErr w:type="spellStart"/>
      <w:r w:rsidRPr="00D7019C">
        <w:rPr>
          <w:rStyle w:val="Strong"/>
          <w:sz w:val="20"/>
          <w:szCs w:val="20"/>
        </w:rPr>
        <w:t>Shazdeh</w:t>
      </w:r>
      <w:proofErr w:type="spellEnd"/>
      <w:r w:rsidRPr="00D7019C">
        <w:rPr>
          <w:rStyle w:val="Strong"/>
          <w:sz w:val="20"/>
          <w:szCs w:val="20"/>
        </w:rPr>
        <w:t xml:space="preserve"> Ahmadi</w:t>
      </w:r>
      <w:r w:rsidRPr="00D7019C">
        <w:rPr>
          <w:sz w:val="20"/>
          <w:szCs w:val="20"/>
        </w:rPr>
        <w:t xml:space="preserve">: </w:t>
      </w:r>
      <w:r w:rsidRPr="00D7019C">
        <w:rPr>
          <w:b/>
          <w:bCs/>
          <w:sz w:val="16"/>
          <w:szCs w:val="16"/>
        </w:rPr>
        <w:t>MSc Student in Organizational Transformation Management, Attar Institute of Higher Education, Mashhad, Iran</w:t>
      </w:r>
    </w:p>
    <w:p w14:paraId="2E94C130" w14:textId="1DDA6328" w:rsidR="00A11EA1" w:rsidRDefault="00A11EA1" w:rsidP="00C841DA">
      <w:pPr>
        <w:pStyle w:val="NormalWeb"/>
        <w:jc w:val="center"/>
        <w:rPr>
          <w:b/>
          <w:bCs/>
          <w:sz w:val="16"/>
          <w:szCs w:val="16"/>
        </w:rPr>
      </w:pPr>
      <w:r w:rsidRPr="00D7019C">
        <w:rPr>
          <w:rStyle w:val="Strong"/>
          <w:sz w:val="20"/>
          <w:szCs w:val="20"/>
        </w:rPr>
        <w:t>Fatemeh Mahdizadeh</w:t>
      </w:r>
      <w:r w:rsidRPr="00D7019C">
        <w:rPr>
          <w:sz w:val="20"/>
          <w:szCs w:val="20"/>
        </w:rPr>
        <w:t xml:space="preserve">: </w:t>
      </w:r>
      <w:bookmarkStart w:id="4" w:name="_GoBack"/>
      <w:bookmarkEnd w:id="4"/>
      <w:r w:rsidR="00C841DA" w:rsidRPr="00C841DA">
        <w:rPr>
          <w:b/>
          <w:bCs/>
          <w:sz w:val="16"/>
          <w:szCs w:val="16"/>
        </w:rPr>
        <w:t>MSc student of computer networks Iqbal Institute of Higher Education Mashhad Iran</w:t>
      </w:r>
    </w:p>
    <w:p w14:paraId="4F751B86" w14:textId="32724AC7" w:rsidR="00A11EA1" w:rsidRDefault="00A11EA1" w:rsidP="00C841DA">
      <w:pPr>
        <w:pStyle w:val="NormalWeb"/>
        <w:jc w:val="center"/>
        <w:rPr>
          <w:b/>
          <w:bCs/>
          <w:sz w:val="16"/>
          <w:szCs w:val="16"/>
        </w:rPr>
      </w:pPr>
      <w:proofErr w:type="spellStart"/>
      <w:r>
        <w:rPr>
          <w:rStyle w:val="Strong"/>
          <w:sz w:val="20"/>
          <w:szCs w:val="20"/>
        </w:rPr>
        <w:t>Faezeh</w:t>
      </w:r>
      <w:proofErr w:type="spellEnd"/>
      <w:r w:rsidRPr="00D7019C">
        <w:rPr>
          <w:rStyle w:val="Strong"/>
          <w:sz w:val="20"/>
          <w:szCs w:val="20"/>
        </w:rPr>
        <w:t xml:space="preserve"> Mahdizadeh</w:t>
      </w:r>
      <w:r w:rsidRPr="00D7019C">
        <w:rPr>
          <w:sz w:val="20"/>
          <w:szCs w:val="20"/>
        </w:rPr>
        <w:t xml:space="preserve">: </w:t>
      </w:r>
      <w:r w:rsidR="00C841DA" w:rsidRPr="00C841DA">
        <w:rPr>
          <w:b/>
          <w:bCs/>
          <w:sz w:val="16"/>
          <w:szCs w:val="16"/>
        </w:rPr>
        <w:t>MSc student of computer networks Iqbal Institute of Higher Education Mashhad Iran</w:t>
      </w:r>
    </w:p>
    <w:p w14:paraId="21997D5F" w14:textId="4383787D" w:rsidR="00483B4C" w:rsidRPr="00D7019C" w:rsidRDefault="00483B4C" w:rsidP="00483B4C">
      <w:pPr>
        <w:pStyle w:val="NormalWeb"/>
        <w:jc w:val="center"/>
        <w:rPr>
          <w:sz w:val="20"/>
          <w:szCs w:val="20"/>
        </w:rPr>
      </w:pPr>
      <w:proofErr w:type="spellStart"/>
      <w:r w:rsidRPr="00483B4C">
        <w:rPr>
          <w:rStyle w:val="Strong"/>
          <w:sz w:val="20"/>
          <w:szCs w:val="20"/>
        </w:rPr>
        <w:t>Hanieh</w:t>
      </w:r>
      <w:proofErr w:type="spellEnd"/>
      <w:r w:rsidRPr="00483B4C">
        <w:rPr>
          <w:rStyle w:val="Strong"/>
          <w:sz w:val="20"/>
          <w:szCs w:val="20"/>
        </w:rPr>
        <w:t xml:space="preserve"> </w:t>
      </w:r>
      <w:proofErr w:type="spellStart"/>
      <w:r w:rsidRPr="00483B4C">
        <w:rPr>
          <w:rStyle w:val="Strong"/>
          <w:sz w:val="20"/>
          <w:szCs w:val="20"/>
        </w:rPr>
        <w:t>Almasi</w:t>
      </w:r>
      <w:proofErr w:type="spellEnd"/>
      <w:r w:rsidRPr="00D7019C">
        <w:rPr>
          <w:sz w:val="20"/>
          <w:szCs w:val="20"/>
        </w:rPr>
        <w:t xml:space="preserve">: </w:t>
      </w:r>
      <w:r w:rsidRPr="00D7019C">
        <w:rPr>
          <w:b/>
          <w:bCs/>
          <w:sz w:val="16"/>
          <w:szCs w:val="16"/>
        </w:rPr>
        <w:t xml:space="preserve">Clinical Research Development Unit, </w:t>
      </w:r>
      <w:proofErr w:type="spellStart"/>
      <w:r w:rsidRPr="00D7019C">
        <w:rPr>
          <w:b/>
          <w:bCs/>
          <w:sz w:val="16"/>
          <w:szCs w:val="16"/>
        </w:rPr>
        <w:t>Qaem</w:t>
      </w:r>
      <w:proofErr w:type="spellEnd"/>
      <w:r w:rsidRPr="00D7019C">
        <w:rPr>
          <w:b/>
          <w:bCs/>
          <w:sz w:val="16"/>
          <w:szCs w:val="16"/>
        </w:rPr>
        <w:t xml:space="preserve"> Hospital, Mashhad University of Medical Sciences, Mashhad, Iran</w:t>
      </w:r>
    </w:p>
    <w:p w14:paraId="79E48818" w14:textId="5AADCBFB" w:rsidR="00A11EA1" w:rsidRDefault="00A11EA1" w:rsidP="00A11EA1">
      <w:pPr>
        <w:spacing w:before="100" w:beforeAutospacing="1" w:after="100" w:afterAutospacing="1"/>
        <w:jc w:val="center"/>
        <w:rPr>
          <w:rFonts w:cs="Times New Roman"/>
          <w:b/>
          <w:bCs/>
          <w:lang w:bidi="fa-IR"/>
        </w:rPr>
      </w:pPr>
      <w:r w:rsidRPr="00AC32EB">
        <w:rPr>
          <w:rFonts w:cs="Times New Roman"/>
          <w:b/>
          <w:bCs/>
          <w:lang w:bidi="fa-IR"/>
        </w:rPr>
        <w:t>Roohi</w:t>
      </w:r>
      <w:r>
        <w:rPr>
          <w:rFonts w:cs="Times New Roman"/>
          <w:b/>
          <w:bCs/>
          <w:lang w:bidi="fa-IR"/>
        </w:rPr>
        <w:t>e</w:t>
      </w:r>
      <w:r w:rsidRPr="00AC32EB">
        <w:rPr>
          <w:rFonts w:cs="Times New Roman"/>
          <w:b/>
          <w:bCs/>
          <w:lang w:bidi="fa-IR"/>
        </w:rPr>
        <w:t xml:space="preserve"> Farzaneh</w:t>
      </w:r>
      <w:r>
        <w:rPr>
          <w:rFonts w:cs="Times New Roman"/>
          <w:b/>
          <w:bCs/>
          <w:lang w:bidi="fa-IR"/>
        </w:rPr>
        <w:t xml:space="preserve">*: </w:t>
      </w:r>
      <w:r w:rsidRPr="00A11EA1">
        <w:rPr>
          <w:rFonts w:cs="Times New Roman"/>
          <w:b/>
          <w:bCs/>
          <w:sz w:val="16"/>
          <w:szCs w:val="16"/>
          <w:lang w:bidi="fa-IR"/>
        </w:rPr>
        <w:t>Department of Emergency Medicine, Faculty of Medicine, Mashhad University of Medical Sciences, Mashhad, Iran</w:t>
      </w:r>
    </w:p>
    <w:p w14:paraId="4BB856BE" w14:textId="77777777" w:rsidR="00A11EA1" w:rsidRDefault="00A11EA1" w:rsidP="0091579B">
      <w:pPr>
        <w:spacing w:before="100" w:beforeAutospacing="1" w:after="100" w:afterAutospacing="1"/>
        <w:rPr>
          <w:rFonts w:cs="Times New Roman"/>
          <w:b/>
          <w:bCs/>
          <w:lang w:bidi="fa-IR"/>
        </w:rPr>
      </w:pPr>
    </w:p>
    <w:p w14:paraId="32FDD57E" w14:textId="2D843840" w:rsidR="005B7C78" w:rsidRPr="00B71B90" w:rsidRDefault="005B7C78" w:rsidP="0091579B">
      <w:pPr>
        <w:spacing w:before="100" w:beforeAutospacing="1" w:after="100" w:afterAutospacing="1"/>
        <w:rPr>
          <w:rFonts w:cs="Times New Roman"/>
          <w:b/>
          <w:bCs/>
          <w:lang w:bidi="fa-IR"/>
        </w:rPr>
      </w:pPr>
    </w:p>
    <w:p w14:paraId="777EB59F" w14:textId="77777777" w:rsidR="00F728DC" w:rsidRDefault="00F728DC" w:rsidP="00B55AB2">
      <w:pPr>
        <w:pStyle w:val="Heading2"/>
        <w:ind w:left="567" w:right="567"/>
        <w:jc w:val="both"/>
        <w:rPr>
          <w:rFonts w:cs="Nazanin"/>
          <w:sz w:val="28"/>
          <w:szCs w:val="28"/>
          <w:rtl/>
          <w:lang w:bidi="fa-IR"/>
        </w:rPr>
      </w:pPr>
    </w:p>
    <w:p w14:paraId="43EA4550" w14:textId="77777777" w:rsidR="0091579B" w:rsidRDefault="0016451D" w:rsidP="0091579B">
      <w:pPr>
        <w:pStyle w:val="Heading2"/>
        <w:ind w:left="567" w:right="567"/>
        <w:jc w:val="right"/>
        <w:rPr>
          <w:rFonts w:cs="Nazanin"/>
        </w:rPr>
      </w:pPr>
      <w:r w:rsidRPr="00D26024">
        <w:rPr>
          <w:rFonts w:cs="Nazanin"/>
        </w:rPr>
        <w:t>Abstract</w:t>
      </w:r>
      <w:bookmarkStart w:id="5" w:name="OLE_LINK8"/>
      <w:bookmarkStart w:id="6" w:name="OLE_LINK9"/>
    </w:p>
    <w:p w14:paraId="07D36B3E" w14:textId="77777777" w:rsidR="00E9700D" w:rsidRDefault="00E9700D" w:rsidP="0091579B">
      <w:pPr>
        <w:pStyle w:val="Heading2"/>
        <w:ind w:left="567" w:right="567"/>
        <w:jc w:val="right"/>
        <w:rPr>
          <w:rFonts w:cs="Nazanin"/>
          <w:sz w:val="20"/>
          <w:szCs w:val="20"/>
        </w:rPr>
      </w:pPr>
      <w:r w:rsidRPr="00E9700D">
        <w:rPr>
          <w:rFonts w:cs="Traditional Arabic"/>
          <w:b w:val="0"/>
          <w:bCs w:val="0"/>
          <w:sz w:val="20"/>
          <w:szCs w:val="20"/>
        </w:rPr>
        <w:t>Emergency department (ED) staff are frequently exposed to a wide range of occupational hazards, including physical injuries, biological risks, and high levels of psychological stress. These hazards not only threaten the well-being of healthcare workers but also indirectly impact patient safety and the quality of care. Health, Safety, and Environment (HSE) management systems, combined with targeted staff training, have been recognized as essential strategies to mitigate workplace risks in EDs. HSE frameworks provide structured policies, risk assessments, and safety protocols, while training programs enhance staff awareness, competency, and adherence to safety standards. This narrative review synthesizes current evidence from descriptive, observational, and systematic studies on the effectiveness of HSE management and training in reducing work-related injuries and medical errors among emergency staff. The review highlights common occupational risks, organizational and environmental factors contributing to these hazards, and best practices for implementing safety strategies. Findings suggest that integrating robust HSE management with continuous education significantly improves staff safety, fosters a culture of risk prevention, and supports higher-quality patient care. The review emphasizes the need for healthcare institutions to prioritize occupational safety in EDs through policy enforcement, regular training, and continuous monitoring.</w:t>
      </w:r>
    </w:p>
    <w:p w14:paraId="1C8E6801" w14:textId="3E5B296A" w:rsidR="00201F44" w:rsidRDefault="00D26024" w:rsidP="00E9700D">
      <w:pPr>
        <w:pStyle w:val="Heading2"/>
        <w:ind w:left="567" w:right="567"/>
        <w:jc w:val="right"/>
        <w:rPr>
          <w:rFonts w:cs="Nazanin"/>
          <w:b w:val="0"/>
          <w:bCs w:val="0"/>
          <w:sz w:val="28"/>
          <w:szCs w:val="32"/>
          <w:rtl/>
          <w:lang w:bidi="fa-IR"/>
        </w:rPr>
      </w:pPr>
      <w:r w:rsidRPr="00201F44">
        <w:rPr>
          <w:rFonts w:cs="Nazanin"/>
          <w:sz w:val="20"/>
          <w:szCs w:val="20"/>
        </w:rPr>
        <w:t>Keywords</w:t>
      </w:r>
      <w:r w:rsidR="00E9700D" w:rsidRPr="00E9700D">
        <w:rPr>
          <w:rFonts w:cs="Traditional Arabic"/>
          <w:b w:val="0"/>
          <w:bCs w:val="0"/>
          <w:sz w:val="20"/>
          <w:szCs w:val="20"/>
        </w:rPr>
        <w:t>: Emergency Department Staff, Occupational Safety, Work-Related Injuries, HSE Management, Staff Training, Patient Safety</w:t>
      </w:r>
    </w:p>
    <w:p w14:paraId="1A5ECE32" w14:textId="5D5F4E5A" w:rsidR="00201F44" w:rsidRDefault="00201F44" w:rsidP="00201F44">
      <w:pPr>
        <w:bidi/>
        <w:jc w:val="center"/>
        <w:rPr>
          <w:rFonts w:cs="Nazanin"/>
          <w:b/>
          <w:bCs/>
          <w:sz w:val="28"/>
          <w:szCs w:val="32"/>
          <w:rtl/>
          <w:lang w:bidi="fa-IR"/>
        </w:rPr>
      </w:pPr>
    </w:p>
    <w:p w14:paraId="5103CB08" w14:textId="77777777" w:rsidR="0091579B" w:rsidRDefault="0091579B" w:rsidP="0091579B">
      <w:pPr>
        <w:bidi/>
        <w:jc w:val="center"/>
        <w:rPr>
          <w:rFonts w:cs="Nazanin"/>
          <w:b/>
          <w:bCs/>
          <w:sz w:val="28"/>
          <w:szCs w:val="32"/>
          <w:rtl/>
          <w:lang w:bidi="fa-IR"/>
        </w:rPr>
      </w:pPr>
    </w:p>
    <w:p w14:paraId="1990D3B1" w14:textId="77777777" w:rsidR="0091579B" w:rsidRDefault="0091579B" w:rsidP="0091579B">
      <w:pPr>
        <w:bidi/>
        <w:jc w:val="center"/>
        <w:rPr>
          <w:rFonts w:cs="Nazanin"/>
          <w:b/>
          <w:bCs/>
          <w:sz w:val="28"/>
          <w:szCs w:val="32"/>
          <w:rtl/>
          <w:lang w:bidi="fa-IR"/>
        </w:rPr>
      </w:pPr>
    </w:p>
    <w:p w14:paraId="6415E259" w14:textId="77777777" w:rsidR="0091579B" w:rsidRDefault="0091579B" w:rsidP="0091579B">
      <w:pPr>
        <w:bidi/>
        <w:jc w:val="center"/>
        <w:rPr>
          <w:rFonts w:cs="Nazanin"/>
          <w:b/>
          <w:bCs/>
          <w:sz w:val="28"/>
          <w:szCs w:val="32"/>
          <w:rtl/>
          <w:lang w:bidi="fa-IR"/>
        </w:rPr>
      </w:pPr>
    </w:p>
    <w:p w14:paraId="36996140" w14:textId="77777777" w:rsidR="0091579B" w:rsidRDefault="0091579B" w:rsidP="0091579B">
      <w:pPr>
        <w:bidi/>
        <w:jc w:val="center"/>
        <w:rPr>
          <w:rFonts w:cs="Nazanin"/>
          <w:b/>
          <w:bCs/>
          <w:sz w:val="28"/>
          <w:szCs w:val="32"/>
          <w:rtl/>
          <w:lang w:bidi="fa-IR"/>
        </w:rPr>
      </w:pPr>
    </w:p>
    <w:p w14:paraId="111E3E1A" w14:textId="77777777" w:rsidR="00E9700D" w:rsidRDefault="00E9700D" w:rsidP="00E9700D">
      <w:pPr>
        <w:bidi/>
        <w:jc w:val="center"/>
        <w:rPr>
          <w:rFonts w:cs="Nazanin"/>
          <w:b/>
          <w:bCs/>
          <w:sz w:val="28"/>
          <w:szCs w:val="32"/>
          <w:rtl/>
          <w:lang w:bidi="fa-IR"/>
        </w:rPr>
      </w:pPr>
    </w:p>
    <w:p w14:paraId="50412D75" w14:textId="77777777" w:rsidR="00E9700D" w:rsidRDefault="00E9700D" w:rsidP="00E9700D">
      <w:pPr>
        <w:bidi/>
        <w:jc w:val="center"/>
        <w:rPr>
          <w:rFonts w:cs="Nazanin"/>
          <w:b/>
          <w:bCs/>
          <w:sz w:val="28"/>
          <w:szCs w:val="32"/>
          <w:rtl/>
          <w:lang w:bidi="fa-IR"/>
        </w:rPr>
      </w:pPr>
    </w:p>
    <w:p w14:paraId="3534A3D3" w14:textId="77777777" w:rsidR="0091579B" w:rsidRDefault="0091579B" w:rsidP="0091579B">
      <w:pPr>
        <w:bidi/>
        <w:jc w:val="center"/>
        <w:rPr>
          <w:rFonts w:cs="Nazanin"/>
          <w:b/>
          <w:bCs/>
          <w:sz w:val="28"/>
          <w:szCs w:val="32"/>
          <w:rtl/>
          <w:lang w:bidi="fa-IR"/>
        </w:rPr>
      </w:pPr>
    </w:p>
    <w:p w14:paraId="2C4DC869" w14:textId="29BBBF4B" w:rsidR="00201F44" w:rsidRDefault="00201F44" w:rsidP="00201F44">
      <w:pPr>
        <w:bidi/>
        <w:jc w:val="center"/>
        <w:rPr>
          <w:rFonts w:cs="Nazanin"/>
          <w:b/>
          <w:bCs/>
          <w:sz w:val="28"/>
          <w:szCs w:val="32"/>
          <w:rtl/>
          <w:lang w:bidi="fa-IR"/>
        </w:rPr>
      </w:pPr>
    </w:p>
    <w:bookmarkEnd w:id="5"/>
    <w:bookmarkEnd w:id="6"/>
    <w:p w14:paraId="3A0C0130" w14:textId="055F5312" w:rsidR="00AC5402" w:rsidRDefault="00201F44" w:rsidP="00AC5402">
      <w:pPr>
        <w:spacing w:line="232" w:lineRule="auto"/>
      </w:pPr>
      <w:r>
        <w:rPr>
          <w:rFonts w:cs="Nazanin"/>
          <w:b/>
          <w:bCs/>
          <w:lang w:bidi="fa-IR"/>
        </w:rPr>
        <w:t>1.</w:t>
      </w:r>
      <w:r w:rsidR="00AC5402" w:rsidRPr="00AC5402">
        <w:rPr>
          <w:rFonts w:cs="Nazanin"/>
          <w:b/>
          <w:bCs/>
          <w:lang w:bidi="fa-IR"/>
        </w:rPr>
        <w:t>Introduction</w:t>
      </w:r>
    </w:p>
    <w:p w14:paraId="4A6781F3" w14:textId="77777777" w:rsidR="00E9700D" w:rsidRPr="00E9700D" w:rsidRDefault="00E9700D" w:rsidP="00E9700D">
      <w:pPr>
        <w:pStyle w:val="NormalWeb"/>
        <w:rPr>
          <w:rFonts w:cs="Traditional Arabic"/>
          <w:noProof/>
          <w:sz w:val="20"/>
          <w:szCs w:val="20"/>
          <w:lang w:bidi="ar-SA"/>
        </w:rPr>
      </w:pPr>
      <w:r w:rsidRPr="00E9700D">
        <w:rPr>
          <w:rFonts w:cs="Traditional Arabic"/>
          <w:noProof/>
          <w:sz w:val="20"/>
          <w:szCs w:val="20"/>
          <w:lang w:bidi="ar-SA"/>
        </w:rPr>
        <w:t>Emergency departments (EDs) are inherently high-risk environments where healthcare professionals face numerous occupational hazards, including physical injuries, exposure to infectious agents, and psychological stress [1], [2]. These hazards not only compromise the health and well-being of staff but may also indirectly affect patient safety and quality of care [3]. Studies have reported that needlestick injuries, slips, falls, musculoskeletal disorders, and burnout are prevalent among ED personnel, reflecting the urgent need for comprehensive safety management [4], [5].</w:t>
      </w:r>
    </w:p>
    <w:p w14:paraId="61DADEB2" w14:textId="77777777" w:rsidR="00E9700D" w:rsidRPr="00E9700D" w:rsidRDefault="00E9700D" w:rsidP="00E9700D">
      <w:pPr>
        <w:pStyle w:val="NormalWeb"/>
        <w:rPr>
          <w:rFonts w:cs="Traditional Arabic"/>
          <w:noProof/>
          <w:sz w:val="20"/>
          <w:szCs w:val="20"/>
          <w:lang w:bidi="ar-SA"/>
        </w:rPr>
      </w:pPr>
      <w:r w:rsidRPr="00E9700D">
        <w:rPr>
          <w:rFonts w:cs="Traditional Arabic"/>
          <w:noProof/>
          <w:sz w:val="20"/>
          <w:szCs w:val="20"/>
          <w:lang w:bidi="ar-SA"/>
        </w:rPr>
        <w:t>Health, Safety, and Environment (HSE) management systems provide structured policies, risk assessment procedures, and safety protocols aimed at minimizing workplace hazards [6], [7]. Proper implementation of HSE frameworks, combined with targeted staff training, has been shown to reduce occupational injuries and enhance adherence to safety standards [8], [9]. Training programs increase staff awareness, competency, and preparedness to handle emergencies, thereby fostering a culture of safety in emergency care settings [10].</w:t>
      </w:r>
    </w:p>
    <w:p w14:paraId="77B0E9C9" w14:textId="03CA9385" w:rsidR="00E9700D" w:rsidRDefault="00E9700D" w:rsidP="00E9700D">
      <w:pPr>
        <w:pStyle w:val="NormalWeb"/>
      </w:pPr>
      <w:r w:rsidRPr="00E9700D">
        <w:rPr>
          <w:rFonts w:cs="Traditional Arabic"/>
          <w:noProof/>
          <w:sz w:val="20"/>
          <w:szCs w:val="20"/>
          <w:lang w:bidi="ar-SA"/>
        </w:rPr>
        <w:t xml:space="preserve">Given the high prevalence of work-related hazards and their impact on both staff and patient outcomes, this narrative review synthesizes current evidence on the role of HSE management and staff training in promoting safety in EDs. The review highlights effective strategies for reducing occupational risks, improving staff well-being, and enhancing overall healthcare quality [1–10]. </w:t>
      </w:r>
      <w:r>
        <w:t>[1] Aziz A, et al., 2019. Evaluating environmental, health and safety practices in hospitals: A case study in Karachi.</w:t>
      </w:r>
    </w:p>
    <w:p w14:paraId="50658DCD" w14:textId="13E5AA99" w:rsidR="00E9700D" w:rsidRPr="00E9700D" w:rsidRDefault="00E9700D" w:rsidP="00E9700D">
      <w:pPr>
        <w:pStyle w:val="Heading2"/>
        <w:bidi w:val="0"/>
        <w:jc w:val="left"/>
        <w:rPr>
          <w:rFonts w:asciiTheme="majorBidi" w:hAnsiTheme="majorBidi" w:cstheme="majorBidi"/>
          <w:noProof w:val="0"/>
          <w:sz w:val="20"/>
          <w:szCs w:val="20"/>
        </w:rPr>
      </w:pPr>
      <w:r>
        <w:rPr>
          <w:rStyle w:val="Strong"/>
          <w:rFonts w:asciiTheme="majorBidi" w:hAnsiTheme="majorBidi" w:cstheme="majorBidi"/>
          <w:b/>
          <w:bCs/>
          <w:sz w:val="20"/>
          <w:szCs w:val="20"/>
        </w:rPr>
        <w:t>2.</w:t>
      </w:r>
      <w:r w:rsidRPr="00E9700D">
        <w:rPr>
          <w:rStyle w:val="Strong"/>
          <w:rFonts w:asciiTheme="majorBidi" w:hAnsiTheme="majorBidi" w:cstheme="majorBidi"/>
          <w:b/>
          <w:bCs/>
          <w:sz w:val="20"/>
          <w:szCs w:val="20"/>
        </w:rPr>
        <w:t>Methodology</w:t>
      </w:r>
    </w:p>
    <w:p w14:paraId="62FDE396" w14:textId="77777777" w:rsidR="00E9700D" w:rsidRPr="00E9700D" w:rsidRDefault="00E9700D" w:rsidP="00E9700D">
      <w:pPr>
        <w:pStyle w:val="Heading3"/>
        <w:bidi w:val="0"/>
        <w:jc w:val="left"/>
        <w:rPr>
          <w:rFonts w:asciiTheme="majorBidi" w:hAnsiTheme="majorBidi" w:cstheme="majorBidi"/>
          <w:sz w:val="20"/>
          <w:szCs w:val="20"/>
        </w:rPr>
      </w:pPr>
      <w:r w:rsidRPr="00E9700D">
        <w:rPr>
          <w:rStyle w:val="Strong"/>
          <w:rFonts w:asciiTheme="majorBidi" w:hAnsiTheme="majorBidi" w:cstheme="majorBidi"/>
          <w:b/>
          <w:bCs/>
          <w:sz w:val="20"/>
          <w:szCs w:val="20"/>
        </w:rPr>
        <w:t>2.1 Study Design</w:t>
      </w:r>
    </w:p>
    <w:p w14:paraId="4110E3D5" w14:textId="77777777" w:rsidR="00E9700D" w:rsidRPr="00E9700D" w:rsidRDefault="00E9700D" w:rsidP="00E9700D">
      <w:pPr>
        <w:pStyle w:val="NormalWeb"/>
        <w:rPr>
          <w:rFonts w:asciiTheme="majorBidi" w:hAnsiTheme="majorBidi" w:cstheme="majorBidi"/>
          <w:sz w:val="20"/>
          <w:szCs w:val="20"/>
        </w:rPr>
      </w:pPr>
      <w:r w:rsidRPr="00E9700D">
        <w:rPr>
          <w:rFonts w:asciiTheme="majorBidi" w:hAnsiTheme="majorBidi" w:cstheme="majorBidi"/>
          <w:sz w:val="20"/>
          <w:szCs w:val="20"/>
        </w:rPr>
        <w:t xml:space="preserve">This study adopts a narrative review approach to examine the role of Health, Safety, and Environment (HSE) management and staff training in enhancing occupational safety among emergency department (ED) personnel. Relevant literature was systematically identified through searches in major scientific databases, including PubMed, Scopus, Web of Science, and PMC. The search strategy focused on peer-reviewed journal articles, conference papers, and authoritative reports published between 2000 and 2025, using keywords such as </w:t>
      </w:r>
      <w:r w:rsidRPr="00E9700D">
        <w:rPr>
          <w:rStyle w:val="Emphasis"/>
          <w:rFonts w:asciiTheme="majorBidi" w:hAnsiTheme="majorBidi" w:cstheme="majorBidi"/>
          <w:sz w:val="20"/>
          <w:szCs w:val="20"/>
        </w:rPr>
        <w:t>Emergency Department staff</w:t>
      </w:r>
      <w:r w:rsidRPr="00E9700D">
        <w:rPr>
          <w:rFonts w:asciiTheme="majorBidi" w:hAnsiTheme="majorBidi" w:cstheme="majorBidi"/>
          <w:sz w:val="20"/>
          <w:szCs w:val="20"/>
        </w:rPr>
        <w:t xml:space="preserve">, </w:t>
      </w:r>
      <w:r w:rsidRPr="00E9700D">
        <w:rPr>
          <w:rStyle w:val="Emphasis"/>
          <w:rFonts w:asciiTheme="majorBidi" w:hAnsiTheme="majorBidi" w:cstheme="majorBidi"/>
          <w:sz w:val="20"/>
          <w:szCs w:val="20"/>
        </w:rPr>
        <w:t>occupational safety</w:t>
      </w:r>
      <w:r w:rsidRPr="00E9700D">
        <w:rPr>
          <w:rFonts w:asciiTheme="majorBidi" w:hAnsiTheme="majorBidi" w:cstheme="majorBidi"/>
          <w:sz w:val="20"/>
          <w:szCs w:val="20"/>
        </w:rPr>
        <w:t xml:space="preserve">, </w:t>
      </w:r>
      <w:r w:rsidRPr="00E9700D">
        <w:rPr>
          <w:rStyle w:val="Emphasis"/>
          <w:rFonts w:asciiTheme="majorBidi" w:hAnsiTheme="majorBidi" w:cstheme="majorBidi"/>
          <w:sz w:val="20"/>
          <w:szCs w:val="20"/>
        </w:rPr>
        <w:t>work-related injuries</w:t>
      </w:r>
      <w:r w:rsidRPr="00E9700D">
        <w:rPr>
          <w:rFonts w:asciiTheme="majorBidi" w:hAnsiTheme="majorBidi" w:cstheme="majorBidi"/>
          <w:sz w:val="20"/>
          <w:szCs w:val="20"/>
        </w:rPr>
        <w:t xml:space="preserve">, </w:t>
      </w:r>
      <w:r w:rsidRPr="00E9700D">
        <w:rPr>
          <w:rStyle w:val="Emphasis"/>
          <w:rFonts w:asciiTheme="majorBidi" w:hAnsiTheme="majorBidi" w:cstheme="majorBidi"/>
          <w:sz w:val="20"/>
          <w:szCs w:val="20"/>
        </w:rPr>
        <w:t>HSE management</w:t>
      </w:r>
      <w:r w:rsidRPr="00E9700D">
        <w:rPr>
          <w:rFonts w:asciiTheme="majorBidi" w:hAnsiTheme="majorBidi" w:cstheme="majorBidi"/>
          <w:sz w:val="20"/>
          <w:szCs w:val="20"/>
        </w:rPr>
        <w:t xml:space="preserve">, </w:t>
      </w:r>
      <w:r w:rsidRPr="00E9700D">
        <w:rPr>
          <w:rStyle w:val="Emphasis"/>
          <w:rFonts w:asciiTheme="majorBidi" w:hAnsiTheme="majorBidi" w:cstheme="majorBidi"/>
          <w:sz w:val="20"/>
          <w:szCs w:val="20"/>
        </w:rPr>
        <w:t>staff training</w:t>
      </w:r>
      <w:r w:rsidRPr="00E9700D">
        <w:rPr>
          <w:rFonts w:asciiTheme="majorBidi" w:hAnsiTheme="majorBidi" w:cstheme="majorBidi"/>
          <w:sz w:val="20"/>
          <w:szCs w:val="20"/>
        </w:rPr>
        <w:t xml:space="preserve">, and </w:t>
      </w:r>
      <w:r w:rsidRPr="00E9700D">
        <w:rPr>
          <w:rStyle w:val="Emphasis"/>
          <w:rFonts w:asciiTheme="majorBidi" w:hAnsiTheme="majorBidi" w:cstheme="majorBidi"/>
          <w:sz w:val="20"/>
          <w:szCs w:val="20"/>
        </w:rPr>
        <w:t>patient safety</w:t>
      </w:r>
      <w:r w:rsidRPr="00E9700D">
        <w:rPr>
          <w:rFonts w:asciiTheme="majorBidi" w:hAnsiTheme="majorBidi" w:cstheme="majorBidi"/>
          <w:sz w:val="20"/>
          <w:szCs w:val="20"/>
        </w:rPr>
        <w:t>.</w:t>
      </w:r>
    </w:p>
    <w:p w14:paraId="40014343" w14:textId="43E371D2" w:rsidR="00E9700D" w:rsidRPr="00E9700D" w:rsidRDefault="00E9700D" w:rsidP="00E9700D">
      <w:pPr>
        <w:pStyle w:val="NormalWeb"/>
        <w:rPr>
          <w:rFonts w:asciiTheme="majorBidi" w:hAnsiTheme="majorBidi" w:cstheme="majorBidi"/>
          <w:sz w:val="20"/>
          <w:szCs w:val="20"/>
        </w:rPr>
      </w:pPr>
      <w:r w:rsidRPr="00E9700D">
        <w:rPr>
          <w:rFonts w:asciiTheme="majorBidi" w:hAnsiTheme="majorBidi" w:cstheme="majorBidi"/>
          <w:sz w:val="20"/>
          <w:szCs w:val="20"/>
        </w:rPr>
        <w:t>The selection process involved screening titles and abstracts to ensure relevance to the research objectives, followed by full-text evaluation. Studies addressing occupational hazards, HSE management frameworks, training programs, risk mitigation strategies, and safety culture in emergency care settings were included. Articles not related to healthcare occupational safety, lacking methodological clarity, or focusing exclusively on non-emergency departments were excluded.</w:t>
      </w:r>
    </w:p>
    <w:p w14:paraId="0B7E35DD" w14:textId="77777777" w:rsidR="00E9700D" w:rsidRPr="00E9700D" w:rsidRDefault="00165D55" w:rsidP="00E9700D">
      <w:pPr>
        <w:rPr>
          <w:rFonts w:asciiTheme="majorBidi" w:hAnsiTheme="majorBidi" w:cstheme="majorBidi"/>
        </w:rPr>
      </w:pPr>
      <w:r>
        <w:rPr>
          <w:rFonts w:asciiTheme="majorBidi" w:hAnsiTheme="majorBidi" w:cstheme="majorBidi"/>
        </w:rPr>
        <w:pict w14:anchorId="10BB9C41">
          <v:rect id="_x0000_i1025" style="width:0;height:1.5pt" o:hrstd="t" o:hr="t" fillcolor="#a0a0a0" stroked="f"/>
        </w:pict>
      </w:r>
    </w:p>
    <w:p w14:paraId="03E50E92" w14:textId="77777777" w:rsidR="00E9700D" w:rsidRPr="00E9700D" w:rsidRDefault="00E9700D" w:rsidP="00E9700D">
      <w:pPr>
        <w:pStyle w:val="Heading3"/>
        <w:bidi w:val="0"/>
        <w:jc w:val="left"/>
        <w:rPr>
          <w:rFonts w:asciiTheme="majorBidi" w:hAnsiTheme="majorBidi" w:cstheme="majorBidi"/>
          <w:sz w:val="20"/>
          <w:szCs w:val="20"/>
        </w:rPr>
      </w:pPr>
      <w:r w:rsidRPr="00E9700D">
        <w:rPr>
          <w:rStyle w:val="Strong"/>
          <w:rFonts w:asciiTheme="majorBidi" w:hAnsiTheme="majorBidi" w:cstheme="majorBidi"/>
          <w:b/>
          <w:bCs/>
          <w:sz w:val="20"/>
          <w:szCs w:val="20"/>
        </w:rPr>
        <w:t>2.2 Inclusion and Exclusion Criteria</w:t>
      </w:r>
    </w:p>
    <w:p w14:paraId="056C9BC2" w14:textId="77777777" w:rsidR="00E9700D" w:rsidRPr="00E9700D" w:rsidRDefault="00E9700D" w:rsidP="00E9700D">
      <w:pPr>
        <w:pStyle w:val="NormalWeb"/>
        <w:rPr>
          <w:rFonts w:asciiTheme="majorBidi" w:hAnsiTheme="majorBidi" w:cstheme="majorBidi"/>
          <w:sz w:val="20"/>
          <w:szCs w:val="20"/>
        </w:rPr>
      </w:pPr>
      <w:r w:rsidRPr="00E9700D">
        <w:rPr>
          <w:rStyle w:val="Strong"/>
          <w:rFonts w:asciiTheme="majorBidi" w:hAnsiTheme="majorBidi" w:cstheme="majorBidi"/>
          <w:sz w:val="20"/>
          <w:szCs w:val="20"/>
        </w:rPr>
        <w:t>Inclusion criteria:</w:t>
      </w:r>
    </w:p>
    <w:p w14:paraId="32A0151A" w14:textId="77777777" w:rsidR="00E9700D" w:rsidRPr="00E9700D" w:rsidRDefault="00E9700D" w:rsidP="00E9700D">
      <w:pPr>
        <w:pStyle w:val="NormalWeb"/>
        <w:numPr>
          <w:ilvl w:val="0"/>
          <w:numId w:val="26"/>
        </w:numPr>
        <w:rPr>
          <w:rFonts w:asciiTheme="majorBidi" w:hAnsiTheme="majorBidi" w:cstheme="majorBidi"/>
          <w:sz w:val="20"/>
          <w:szCs w:val="20"/>
        </w:rPr>
      </w:pPr>
      <w:r w:rsidRPr="00E9700D">
        <w:rPr>
          <w:rFonts w:asciiTheme="majorBidi" w:hAnsiTheme="majorBidi" w:cstheme="majorBidi"/>
          <w:sz w:val="20"/>
          <w:szCs w:val="20"/>
        </w:rPr>
        <w:t>Studies examining occupational hazards and safety practices among ED staff.</w:t>
      </w:r>
    </w:p>
    <w:p w14:paraId="4256660E" w14:textId="77777777" w:rsidR="00E9700D" w:rsidRPr="00E9700D" w:rsidRDefault="00E9700D" w:rsidP="00E9700D">
      <w:pPr>
        <w:pStyle w:val="NormalWeb"/>
        <w:numPr>
          <w:ilvl w:val="0"/>
          <w:numId w:val="26"/>
        </w:numPr>
        <w:rPr>
          <w:rFonts w:asciiTheme="majorBidi" w:hAnsiTheme="majorBidi" w:cstheme="majorBidi"/>
          <w:sz w:val="20"/>
          <w:szCs w:val="20"/>
        </w:rPr>
      </w:pPr>
      <w:r w:rsidRPr="00E9700D">
        <w:rPr>
          <w:rFonts w:asciiTheme="majorBidi" w:hAnsiTheme="majorBidi" w:cstheme="majorBidi"/>
          <w:sz w:val="20"/>
          <w:szCs w:val="20"/>
        </w:rPr>
        <w:t>Studies reporting the impact of HSE management systems or staff training on work-related injuries, compliance with safety protocols, or patient safety.</w:t>
      </w:r>
    </w:p>
    <w:p w14:paraId="0795F83D" w14:textId="77777777" w:rsidR="00E9700D" w:rsidRPr="00E9700D" w:rsidRDefault="00E9700D" w:rsidP="00E9700D">
      <w:pPr>
        <w:pStyle w:val="NormalWeb"/>
        <w:numPr>
          <w:ilvl w:val="0"/>
          <w:numId w:val="26"/>
        </w:numPr>
        <w:rPr>
          <w:rFonts w:asciiTheme="majorBidi" w:hAnsiTheme="majorBidi" w:cstheme="majorBidi"/>
          <w:sz w:val="20"/>
          <w:szCs w:val="20"/>
        </w:rPr>
      </w:pPr>
      <w:r w:rsidRPr="00E9700D">
        <w:rPr>
          <w:rFonts w:asciiTheme="majorBidi" w:hAnsiTheme="majorBidi" w:cstheme="majorBidi"/>
          <w:sz w:val="20"/>
          <w:szCs w:val="20"/>
        </w:rPr>
        <w:t>Peer-reviewed journal articles, conference papers, and authoritative reports published in English between 2000 and 2025.</w:t>
      </w:r>
    </w:p>
    <w:p w14:paraId="1F60E4C6" w14:textId="77777777" w:rsidR="00E9700D" w:rsidRPr="00E9700D" w:rsidRDefault="00E9700D" w:rsidP="00E9700D">
      <w:pPr>
        <w:pStyle w:val="NormalWeb"/>
        <w:numPr>
          <w:ilvl w:val="0"/>
          <w:numId w:val="26"/>
        </w:numPr>
        <w:rPr>
          <w:rFonts w:asciiTheme="majorBidi" w:hAnsiTheme="majorBidi" w:cstheme="majorBidi"/>
          <w:sz w:val="20"/>
          <w:szCs w:val="20"/>
        </w:rPr>
      </w:pPr>
      <w:r w:rsidRPr="00E9700D">
        <w:rPr>
          <w:rFonts w:asciiTheme="majorBidi" w:hAnsiTheme="majorBidi" w:cstheme="majorBidi"/>
          <w:sz w:val="20"/>
          <w:szCs w:val="20"/>
        </w:rPr>
        <w:t>Studies with sufficient methodological detail, including study setting, population, and evaluation metrics.</w:t>
      </w:r>
    </w:p>
    <w:p w14:paraId="633544A3" w14:textId="77777777" w:rsidR="00E9700D" w:rsidRPr="00E9700D" w:rsidRDefault="00E9700D" w:rsidP="00E9700D">
      <w:pPr>
        <w:pStyle w:val="NormalWeb"/>
        <w:rPr>
          <w:rFonts w:asciiTheme="majorBidi" w:hAnsiTheme="majorBidi" w:cstheme="majorBidi"/>
          <w:sz w:val="20"/>
          <w:szCs w:val="20"/>
        </w:rPr>
      </w:pPr>
      <w:r w:rsidRPr="00E9700D">
        <w:rPr>
          <w:rStyle w:val="Strong"/>
          <w:rFonts w:asciiTheme="majorBidi" w:hAnsiTheme="majorBidi" w:cstheme="majorBidi"/>
          <w:sz w:val="20"/>
          <w:szCs w:val="20"/>
        </w:rPr>
        <w:t>Exclusion criteria:</w:t>
      </w:r>
    </w:p>
    <w:p w14:paraId="0D9710B6" w14:textId="77777777" w:rsidR="00E9700D" w:rsidRPr="00E9700D" w:rsidRDefault="00E9700D" w:rsidP="00E9700D">
      <w:pPr>
        <w:pStyle w:val="NormalWeb"/>
        <w:numPr>
          <w:ilvl w:val="0"/>
          <w:numId w:val="27"/>
        </w:numPr>
        <w:rPr>
          <w:rFonts w:asciiTheme="majorBidi" w:hAnsiTheme="majorBidi" w:cstheme="majorBidi"/>
          <w:sz w:val="20"/>
          <w:szCs w:val="20"/>
        </w:rPr>
      </w:pPr>
      <w:r w:rsidRPr="00E9700D">
        <w:rPr>
          <w:rFonts w:asciiTheme="majorBidi" w:hAnsiTheme="majorBidi" w:cstheme="majorBidi"/>
          <w:sz w:val="20"/>
          <w:szCs w:val="20"/>
        </w:rPr>
        <w:t>Studies not related to occupational safety or HSE management in emergency healthcare.</w:t>
      </w:r>
    </w:p>
    <w:p w14:paraId="7768D461" w14:textId="77777777" w:rsidR="00E9700D" w:rsidRPr="00E9700D" w:rsidRDefault="00E9700D" w:rsidP="00E9700D">
      <w:pPr>
        <w:pStyle w:val="NormalWeb"/>
        <w:numPr>
          <w:ilvl w:val="0"/>
          <w:numId w:val="27"/>
        </w:numPr>
        <w:rPr>
          <w:rFonts w:asciiTheme="majorBidi" w:hAnsiTheme="majorBidi" w:cstheme="majorBidi"/>
          <w:sz w:val="20"/>
          <w:szCs w:val="20"/>
        </w:rPr>
      </w:pPr>
      <w:r w:rsidRPr="00E9700D">
        <w:rPr>
          <w:rFonts w:asciiTheme="majorBidi" w:hAnsiTheme="majorBidi" w:cstheme="majorBidi"/>
          <w:sz w:val="20"/>
          <w:szCs w:val="20"/>
        </w:rPr>
        <w:t>Publications lacking sufficient methodological description or outcome data.</w:t>
      </w:r>
    </w:p>
    <w:p w14:paraId="0BA88B45" w14:textId="77777777" w:rsidR="00E9700D" w:rsidRPr="00E9700D" w:rsidRDefault="00E9700D" w:rsidP="00E9700D">
      <w:pPr>
        <w:pStyle w:val="NormalWeb"/>
        <w:numPr>
          <w:ilvl w:val="0"/>
          <w:numId w:val="27"/>
        </w:numPr>
        <w:rPr>
          <w:rFonts w:asciiTheme="majorBidi" w:hAnsiTheme="majorBidi" w:cstheme="majorBidi"/>
          <w:sz w:val="20"/>
          <w:szCs w:val="20"/>
        </w:rPr>
      </w:pPr>
      <w:r w:rsidRPr="00E9700D">
        <w:rPr>
          <w:rFonts w:asciiTheme="majorBidi" w:hAnsiTheme="majorBidi" w:cstheme="majorBidi"/>
          <w:sz w:val="20"/>
          <w:szCs w:val="20"/>
        </w:rPr>
        <w:lastRenderedPageBreak/>
        <w:t>Editorials, opinion pieces, or conference abstracts without full-text availability.</w:t>
      </w:r>
    </w:p>
    <w:p w14:paraId="5BF39D9F" w14:textId="159D438F" w:rsidR="00E9700D" w:rsidRPr="00E9700D" w:rsidRDefault="00E9700D" w:rsidP="00E9700D">
      <w:pPr>
        <w:pStyle w:val="NormalWeb"/>
        <w:numPr>
          <w:ilvl w:val="0"/>
          <w:numId w:val="27"/>
        </w:numPr>
        <w:rPr>
          <w:rFonts w:asciiTheme="majorBidi" w:hAnsiTheme="majorBidi" w:cstheme="majorBidi"/>
          <w:sz w:val="20"/>
          <w:szCs w:val="20"/>
        </w:rPr>
      </w:pPr>
      <w:r w:rsidRPr="00E9700D">
        <w:rPr>
          <w:rFonts w:asciiTheme="majorBidi" w:hAnsiTheme="majorBidi" w:cstheme="majorBidi"/>
          <w:sz w:val="20"/>
          <w:szCs w:val="20"/>
        </w:rPr>
        <w:t>Studies focusing exclusively on non-occupational interventions or non-emergency settings.</w:t>
      </w:r>
    </w:p>
    <w:p w14:paraId="2BF2C883" w14:textId="77777777" w:rsidR="00E9700D" w:rsidRPr="00E9700D" w:rsidRDefault="00165D55" w:rsidP="00E9700D">
      <w:pPr>
        <w:rPr>
          <w:rFonts w:asciiTheme="majorBidi" w:hAnsiTheme="majorBidi" w:cstheme="majorBidi"/>
        </w:rPr>
      </w:pPr>
      <w:r>
        <w:rPr>
          <w:rFonts w:asciiTheme="majorBidi" w:hAnsiTheme="majorBidi" w:cstheme="majorBidi"/>
        </w:rPr>
        <w:pict w14:anchorId="08661CA5">
          <v:rect id="_x0000_i1026" style="width:0;height:1.5pt" o:hrstd="t" o:hr="t" fillcolor="#a0a0a0" stroked="f"/>
        </w:pict>
      </w:r>
    </w:p>
    <w:p w14:paraId="1C0304B6" w14:textId="77777777" w:rsidR="00E9700D" w:rsidRPr="00E9700D" w:rsidRDefault="00E9700D" w:rsidP="00E9700D">
      <w:pPr>
        <w:pStyle w:val="Heading3"/>
        <w:bidi w:val="0"/>
        <w:jc w:val="left"/>
        <w:rPr>
          <w:rFonts w:asciiTheme="majorBidi" w:hAnsiTheme="majorBidi" w:cstheme="majorBidi"/>
          <w:sz w:val="20"/>
          <w:szCs w:val="20"/>
        </w:rPr>
      </w:pPr>
      <w:r w:rsidRPr="00E9700D">
        <w:rPr>
          <w:rStyle w:val="Strong"/>
          <w:rFonts w:asciiTheme="majorBidi" w:hAnsiTheme="majorBidi" w:cstheme="majorBidi"/>
          <w:b/>
          <w:bCs/>
          <w:sz w:val="20"/>
          <w:szCs w:val="20"/>
        </w:rPr>
        <w:t>2.3 Data Extraction and Synthesis</w:t>
      </w:r>
    </w:p>
    <w:p w14:paraId="3AD879A8" w14:textId="77777777" w:rsidR="00E9700D" w:rsidRPr="00E9700D" w:rsidRDefault="00E9700D" w:rsidP="00E9700D">
      <w:pPr>
        <w:pStyle w:val="NormalWeb"/>
        <w:rPr>
          <w:rFonts w:asciiTheme="majorBidi" w:hAnsiTheme="majorBidi" w:cstheme="majorBidi"/>
          <w:sz w:val="20"/>
          <w:szCs w:val="20"/>
        </w:rPr>
      </w:pPr>
      <w:r w:rsidRPr="00E9700D">
        <w:rPr>
          <w:rFonts w:asciiTheme="majorBidi" w:hAnsiTheme="majorBidi" w:cstheme="majorBidi"/>
          <w:sz w:val="20"/>
          <w:szCs w:val="20"/>
        </w:rPr>
        <w:t>From each eligible study, the following information was systematically extracted:</w:t>
      </w:r>
    </w:p>
    <w:p w14:paraId="1DBFFD12" w14:textId="77777777" w:rsidR="00E9700D" w:rsidRPr="00E9700D" w:rsidRDefault="00E9700D" w:rsidP="00E9700D">
      <w:pPr>
        <w:pStyle w:val="NormalWeb"/>
        <w:numPr>
          <w:ilvl w:val="0"/>
          <w:numId w:val="28"/>
        </w:numPr>
        <w:rPr>
          <w:rFonts w:asciiTheme="majorBidi" w:hAnsiTheme="majorBidi" w:cstheme="majorBidi"/>
          <w:sz w:val="20"/>
          <w:szCs w:val="20"/>
        </w:rPr>
      </w:pPr>
      <w:r w:rsidRPr="00E9700D">
        <w:rPr>
          <w:rFonts w:asciiTheme="majorBidi" w:hAnsiTheme="majorBidi" w:cstheme="majorBidi"/>
          <w:sz w:val="20"/>
          <w:szCs w:val="20"/>
        </w:rPr>
        <w:t>Type of intervention (e.g., HSE management framework, safety protocols, training programs)</w:t>
      </w:r>
    </w:p>
    <w:p w14:paraId="695C699D" w14:textId="77777777" w:rsidR="00E9700D" w:rsidRPr="00E9700D" w:rsidRDefault="00E9700D" w:rsidP="00E9700D">
      <w:pPr>
        <w:pStyle w:val="NormalWeb"/>
        <w:numPr>
          <w:ilvl w:val="0"/>
          <w:numId w:val="28"/>
        </w:numPr>
        <w:rPr>
          <w:rFonts w:asciiTheme="majorBidi" w:hAnsiTheme="majorBidi" w:cstheme="majorBidi"/>
          <w:sz w:val="20"/>
          <w:szCs w:val="20"/>
        </w:rPr>
      </w:pPr>
      <w:r w:rsidRPr="00E9700D">
        <w:rPr>
          <w:rFonts w:asciiTheme="majorBidi" w:hAnsiTheme="majorBidi" w:cstheme="majorBidi"/>
          <w:sz w:val="20"/>
          <w:szCs w:val="20"/>
        </w:rPr>
        <w:t>Study design and setting (e.g., cross-sectional, descriptive, observational, case study)</w:t>
      </w:r>
    </w:p>
    <w:p w14:paraId="194C9038" w14:textId="77777777" w:rsidR="00E9700D" w:rsidRPr="00E9700D" w:rsidRDefault="00E9700D" w:rsidP="00E9700D">
      <w:pPr>
        <w:pStyle w:val="NormalWeb"/>
        <w:numPr>
          <w:ilvl w:val="0"/>
          <w:numId w:val="28"/>
        </w:numPr>
        <w:rPr>
          <w:rFonts w:asciiTheme="majorBidi" w:hAnsiTheme="majorBidi" w:cstheme="majorBidi"/>
          <w:sz w:val="20"/>
          <w:szCs w:val="20"/>
        </w:rPr>
      </w:pPr>
      <w:r w:rsidRPr="00E9700D">
        <w:rPr>
          <w:rFonts w:asciiTheme="majorBidi" w:hAnsiTheme="majorBidi" w:cstheme="majorBidi"/>
          <w:sz w:val="20"/>
          <w:szCs w:val="20"/>
        </w:rPr>
        <w:t>Outcomes measured (e.g., incidence of occupational injuries, compliance with safety standards, staff knowledge, patient safety outcomes)</w:t>
      </w:r>
    </w:p>
    <w:p w14:paraId="29456234" w14:textId="77777777" w:rsidR="00E9700D" w:rsidRPr="00E9700D" w:rsidRDefault="00E9700D" w:rsidP="00E9700D">
      <w:pPr>
        <w:pStyle w:val="NormalWeb"/>
        <w:numPr>
          <w:ilvl w:val="0"/>
          <w:numId w:val="28"/>
        </w:numPr>
        <w:rPr>
          <w:rFonts w:asciiTheme="majorBidi" w:hAnsiTheme="majorBidi" w:cstheme="majorBidi"/>
          <w:sz w:val="20"/>
          <w:szCs w:val="20"/>
        </w:rPr>
      </w:pPr>
      <w:r w:rsidRPr="00E9700D">
        <w:rPr>
          <w:rFonts w:asciiTheme="majorBidi" w:hAnsiTheme="majorBidi" w:cstheme="majorBidi"/>
          <w:sz w:val="20"/>
          <w:szCs w:val="20"/>
        </w:rPr>
        <w:t>Implementation context and constraints (e.g., hospital size, country, staffing levels)</w:t>
      </w:r>
    </w:p>
    <w:p w14:paraId="65D51EA9" w14:textId="77777777" w:rsidR="00E9700D" w:rsidRPr="00E9700D" w:rsidRDefault="00E9700D" w:rsidP="00E9700D">
      <w:pPr>
        <w:pStyle w:val="NormalWeb"/>
        <w:numPr>
          <w:ilvl w:val="0"/>
          <w:numId w:val="28"/>
        </w:numPr>
        <w:rPr>
          <w:rFonts w:asciiTheme="majorBidi" w:hAnsiTheme="majorBidi" w:cstheme="majorBidi"/>
          <w:sz w:val="20"/>
          <w:szCs w:val="20"/>
        </w:rPr>
      </w:pPr>
      <w:r w:rsidRPr="00E9700D">
        <w:rPr>
          <w:rFonts w:asciiTheme="majorBidi" w:hAnsiTheme="majorBidi" w:cstheme="majorBidi"/>
          <w:sz w:val="20"/>
          <w:szCs w:val="20"/>
        </w:rPr>
        <w:t>Reported challenges and benefits (e.g., improved safety culture, reduced injuries, enhanced risk awareness)</w:t>
      </w:r>
    </w:p>
    <w:p w14:paraId="3C0614F5" w14:textId="5514ECA8" w:rsidR="00E9700D" w:rsidRPr="00E9700D" w:rsidRDefault="00E9700D" w:rsidP="00E9700D">
      <w:pPr>
        <w:pStyle w:val="NormalWeb"/>
        <w:rPr>
          <w:rFonts w:asciiTheme="majorBidi" w:hAnsiTheme="majorBidi" w:cstheme="majorBidi"/>
          <w:sz w:val="20"/>
          <w:szCs w:val="20"/>
        </w:rPr>
      </w:pPr>
      <w:r w:rsidRPr="00E9700D">
        <w:rPr>
          <w:rFonts w:asciiTheme="majorBidi" w:hAnsiTheme="majorBidi" w:cstheme="majorBidi"/>
          <w:sz w:val="20"/>
          <w:szCs w:val="20"/>
        </w:rPr>
        <w:t xml:space="preserve">Data were synthesized narratively due to heterogeneity in study designs, interventions, and outcome metrics. Key findings were categorized according to the type of intervention (HSE management or training) and their functional contribution to enhancing occupational safety in </w:t>
      </w:r>
      <w:proofErr w:type="spellStart"/>
      <w:r w:rsidRPr="00E9700D">
        <w:rPr>
          <w:rFonts w:asciiTheme="majorBidi" w:hAnsiTheme="majorBidi" w:cstheme="majorBidi"/>
          <w:sz w:val="20"/>
          <w:szCs w:val="20"/>
        </w:rPr>
        <w:t>EDs.</w:t>
      </w:r>
      <w:proofErr w:type="spellEnd"/>
      <w:r w:rsidRPr="00E9700D">
        <w:rPr>
          <w:rFonts w:asciiTheme="majorBidi" w:hAnsiTheme="majorBidi" w:cstheme="majorBidi"/>
          <w:sz w:val="20"/>
          <w:szCs w:val="20"/>
        </w:rPr>
        <w:t xml:space="preserve"> Comparative analysis was conducted to identify trends, highlight best practices, and evaluate the relative effectiveness of different safety interventions.</w:t>
      </w:r>
    </w:p>
    <w:p w14:paraId="5BD38D78" w14:textId="77777777" w:rsidR="00E9700D" w:rsidRDefault="00E9700D" w:rsidP="00E9700D">
      <w:pPr>
        <w:pStyle w:val="Heading2"/>
        <w:bidi w:val="0"/>
        <w:jc w:val="left"/>
        <w:rPr>
          <w:rStyle w:val="Strong"/>
          <w:b/>
          <w:bCs/>
        </w:rPr>
      </w:pPr>
    </w:p>
    <w:p w14:paraId="5133D3CA" w14:textId="77777777" w:rsidR="00E9700D" w:rsidRPr="007D2BE8" w:rsidRDefault="00E9700D" w:rsidP="00E9700D">
      <w:pPr>
        <w:pStyle w:val="Heading2"/>
        <w:bidi w:val="0"/>
        <w:jc w:val="left"/>
        <w:rPr>
          <w:rFonts w:cs="Times New Roman"/>
          <w:noProof w:val="0"/>
          <w:sz w:val="20"/>
          <w:szCs w:val="20"/>
        </w:rPr>
      </w:pPr>
      <w:r w:rsidRPr="007D2BE8">
        <w:rPr>
          <w:rStyle w:val="Strong"/>
          <w:b/>
          <w:bCs/>
          <w:sz w:val="20"/>
          <w:szCs w:val="20"/>
        </w:rPr>
        <w:t>3. Literature Review</w:t>
      </w:r>
    </w:p>
    <w:p w14:paraId="4C50CCAA" w14:textId="77777777" w:rsidR="00E9700D" w:rsidRPr="00E9700D" w:rsidRDefault="00E9700D" w:rsidP="00E9700D">
      <w:pPr>
        <w:pStyle w:val="NormalWeb"/>
        <w:rPr>
          <w:sz w:val="20"/>
          <w:szCs w:val="20"/>
        </w:rPr>
      </w:pPr>
      <w:r w:rsidRPr="00E9700D">
        <w:rPr>
          <w:sz w:val="20"/>
          <w:szCs w:val="20"/>
        </w:rPr>
        <w:t xml:space="preserve">Occupational hazards in emergency departments (EDs) have been extensively studied, highlighting both physical and psychological risks faced by healthcare personnel [1], [2], [3]. Common hazards include </w:t>
      </w:r>
      <w:proofErr w:type="spellStart"/>
      <w:r w:rsidRPr="00E9700D">
        <w:rPr>
          <w:sz w:val="20"/>
          <w:szCs w:val="20"/>
        </w:rPr>
        <w:t>needlestick</w:t>
      </w:r>
      <w:proofErr w:type="spellEnd"/>
      <w:r w:rsidRPr="00E9700D">
        <w:rPr>
          <w:sz w:val="20"/>
          <w:szCs w:val="20"/>
        </w:rPr>
        <w:t xml:space="preserve"> injuries, exposure to infectious diseases, musculoskeletal disorders, slips and falls, burnout, and workplace violence [4], [5], [6]. These hazards not only affect staff well-being but may also compromise patient safety and healthcare quality [7], [8].</w:t>
      </w:r>
    </w:p>
    <w:p w14:paraId="52C87F42" w14:textId="77777777" w:rsidR="00E9700D" w:rsidRPr="00E9700D" w:rsidRDefault="00E9700D" w:rsidP="00E9700D">
      <w:pPr>
        <w:pStyle w:val="NormalWeb"/>
        <w:rPr>
          <w:sz w:val="20"/>
          <w:szCs w:val="20"/>
        </w:rPr>
      </w:pPr>
      <w:r w:rsidRPr="00E9700D">
        <w:rPr>
          <w:sz w:val="20"/>
          <w:szCs w:val="20"/>
        </w:rPr>
        <w:t>Several studies have emphasized the importance of implementing Health, Safety, and Environment (HSE) management systems to mitigate these risks. HSE frameworks provide structured policies, safety protocols, and risk assessment procedures designed to prevent occupational injuries and promote a culture of safety [9], [10]. For example, Lee et al. [10] reported that hospitals implementing integrated HSE strategies observed significant reductions in work-related injuries among ED staff. Similarly, ISO 45001 provides international standards for occupational health and safety management, which can be adapted to healthcare settings [9].</w:t>
      </w:r>
    </w:p>
    <w:p w14:paraId="70C6D739" w14:textId="77777777" w:rsidR="00E9700D" w:rsidRPr="00E9700D" w:rsidRDefault="00E9700D" w:rsidP="00E9700D">
      <w:pPr>
        <w:pStyle w:val="NormalWeb"/>
        <w:rPr>
          <w:sz w:val="20"/>
          <w:szCs w:val="20"/>
        </w:rPr>
      </w:pPr>
      <w:r w:rsidRPr="00E9700D">
        <w:rPr>
          <w:sz w:val="20"/>
          <w:szCs w:val="20"/>
        </w:rPr>
        <w:t xml:space="preserve">In addition to management systems, </w:t>
      </w:r>
      <w:r w:rsidRPr="00E9700D">
        <w:rPr>
          <w:rStyle w:val="Strong"/>
          <w:b w:val="0"/>
          <w:bCs w:val="0"/>
          <w:sz w:val="20"/>
          <w:szCs w:val="20"/>
        </w:rPr>
        <w:t>staff training programs</w:t>
      </w:r>
      <w:r w:rsidRPr="00E9700D">
        <w:rPr>
          <w:b/>
          <w:bCs/>
          <w:sz w:val="20"/>
          <w:szCs w:val="20"/>
        </w:rPr>
        <w:t xml:space="preserve"> </w:t>
      </w:r>
      <w:r w:rsidRPr="00E9700D">
        <w:rPr>
          <w:sz w:val="20"/>
          <w:szCs w:val="20"/>
        </w:rPr>
        <w:t xml:space="preserve">play a critical role in enhancing safety awareness and competence. Structured training on infection control, proper use of personal protective equipment (PPE), emergency protocols, handling of hazardous materials, and reporting of adverse events has been shown to improve adherence to safety standards and reduce the incidence of occupational injuries [11], [12], [13]. </w:t>
      </w:r>
      <w:proofErr w:type="spellStart"/>
      <w:r w:rsidRPr="00E9700D">
        <w:rPr>
          <w:sz w:val="20"/>
          <w:szCs w:val="20"/>
        </w:rPr>
        <w:t>Dadashi</w:t>
      </w:r>
      <w:proofErr w:type="spellEnd"/>
      <w:r w:rsidRPr="00E9700D">
        <w:rPr>
          <w:sz w:val="20"/>
          <w:szCs w:val="20"/>
        </w:rPr>
        <w:t xml:space="preserve"> et al. [6] highlighted that ongoing training combined with HSE policies resulted in measurable improvements in staff compliance and risk reduction.</w:t>
      </w:r>
    </w:p>
    <w:p w14:paraId="173B9427" w14:textId="77777777" w:rsidR="00E9700D" w:rsidRPr="00E9700D" w:rsidRDefault="00E9700D" w:rsidP="00E9700D">
      <w:pPr>
        <w:pStyle w:val="NormalWeb"/>
        <w:rPr>
          <w:sz w:val="20"/>
          <w:szCs w:val="20"/>
        </w:rPr>
      </w:pPr>
      <w:r w:rsidRPr="00E9700D">
        <w:rPr>
          <w:rStyle w:val="Strong"/>
          <w:b w:val="0"/>
          <w:bCs w:val="0"/>
          <w:sz w:val="20"/>
          <w:szCs w:val="20"/>
        </w:rPr>
        <w:t>Patient safety culture</w:t>
      </w:r>
      <w:r w:rsidRPr="00E9700D">
        <w:rPr>
          <w:sz w:val="20"/>
          <w:szCs w:val="20"/>
        </w:rPr>
        <w:t xml:space="preserve"> is closely linked to occupational safety. Hospitals with a strong safety culture and proactive risk management programs report lower rates of medical errors, occupational incidents, and staff burnout [3], [7], </w:t>
      </w:r>
      <w:proofErr w:type="gramStart"/>
      <w:r w:rsidRPr="00E9700D">
        <w:rPr>
          <w:sz w:val="20"/>
          <w:szCs w:val="20"/>
        </w:rPr>
        <w:t>[</w:t>
      </w:r>
      <w:proofErr w:type="gramEnd"/>
      <w:r w:rsidRPr="00E9700D">
        <w:rPr>
          <w:sz w:val="20"/>
          <w:szCs w:val="20"/>
        </w:rPr>
        <w:t>14]. Studies suggest that integrated approaches combining HSE management, regular training, and safety culture interventions significantly improve both staff well-being and patient outcomes [8], [15].</w:t>
      </w:r>
    </w:p>
    <w:p w14:paraId="63AF6C1D" w14:textId="77777777" w:rsidR="00E9700D" w:rsidRPr="00E9700D" w:rsidRDefault="00E9700D" w:rsidP="00E9700D">
      <w:pPr>
        <w:pStyle w:val="NormalWeb"/>
        <w:rPr>
          <w:sz w:val="20"/>
          <w:szCs w:val="20"/>
        </w:rPr>
      </w:pPr>
      <w:r w:rsidRPr="00E9700D">
        <w:rPr>
          <w:sz w:val="20"/>
          <w:szCs w:val="20"/>
        </w:rPr>
        <w:t>Despite these advances, challenges remain, including staff shortages, high workload, inconsistent policy implementation, variable engagement in safety programs, and insufficient resources for continuous training [5], [10], [12]. Addressing these barriers requires organizational commitment, adequate resource allocation, and continuous monitoring of safety practices.</w:t>
      </w:r>
    </w:p>
    <w:p w14:paraId="225ACFAE" w14:textId="1F144EE5" w:rsidR="009C0043" w:rsidRPr="009C0043" w:rsidRDefault="009C0043" w:rsidP="00C11292">
      <w:pPr>
        <w:pStyle w:val="Heading3"/>
        <w:bidi w:val="0"/>
        <w:jc w:val="left"/>
        <w:rPr>
          <w:sz w:val="20"/>
          <w:szCs w:val="20"/>
        </w:rPr>
      </w:pPr>
    </w:p>
    <w:p w14:paraId="3F60B522" w14:textId="77777777" w:rsidR="007F54EE" w:rsidRPr="007F54EE" w:rsidRDefault="007F54EE" w:rsidP="007F54EE">
      <w:pPr>
        <w:pStyle w:val="Heading2"/>
        <w:bidi w:val="0"/>
        <w:jc w:val="left"/>
        <w:rPr>
          <w:rFonts w:cs="Times New Roman"/>
          <w:noProof w:val="0"/>
          <w:sz w:val="20"/>
          <w:szCs w:val="20"/>
        </w:rPr>
      </w:pPr>
      <w:r w:rsidRPr="007F54EE">
        <w:rPr>
          <w:rStyle w:val="Strong"/>
          <w:b/>
          <w:bCs/>
          <w:sz w:val="20"/>
          <w:szCs w:val="20"/>
        </w:rPr>
        <w:t>4. Discussion</w:t>
      </w:r>
    </w:p>
    <w:p w14:paraId="42C30F58" w14:textId="77777777" w:rsidR="007D2BE8" w:rsidRPr="007D2BE8" w:rsidRDefault="007D2BE8" w:rsidP="007D2BE8">
      <w:pPr>
        <w:pStyle w:val="NormalWeb"/>
        <w:rPr>
          <w:sz w:val="20"/>
          <w:szCs w:val="20"/>
        </w:rPr>
      </w:pPr>
      <w:r w:rsidRPr="007D2BE8">
        <w:rPr>
          <w:sz w:val="20"/>
          <w:szCs w:val="20"/>
        </w:rPr>
        <w:t>The findings from the literature highlight that emergency departments (EDs) are high-risk work environments where healthcare personnel face both physical and psychological hazards [1–5]. The implementation of Health, Safety, and Environment (HSE) management systems, combined with structured staff training, appears to significantly reduce occupational injuries and improve adherence to safety standards [6–10]. For instance, Lee et al. [10] reported that hospitals with integrated HSE strategies observed measurable reductions in work-related incidents among ED staff, confirming the importance of systematic safety protocols.</w:t>
      </w:r>
    </w:p>
    <w:p w14:paraId="50307683" w14:textId="77777777" w:rsidR="007D2BE8" w:rsidRPr="007D2BE8" w:rsidRDefault="007D2BE8" w:rsidP="007D2BE8">
      <w:pPr>
        <w:pStyle w:val="NormalWeb"/>
        <w:rPr>
          <w:sz w:val="20"/>
          <w:szCs w:val="20"/>
        </w:rPr>
      </w:pPr>
      <w:r w:rsidRPr="007D2BE8">
        <w:rPr>
          <w:sz w:val="20"/>
          <w:szCs w:val="20"/>
        </w:rPr>
        <w:t xml:space="preserve">Staff training programs, including instruction on infection control, proper use of personal protective equipment (PPE), emergency procedures, and incident reporting, have consistently been shown to enhance staff competence, safety awareness, and resilience [8], [9], [11–13]. </w:t>
      </w:r>
      <w:proofErr w:type="spellStart"/>
      <w:r w:rsidRPr="007D2BE8">
        <w:rPr>
          <w:sz w:val="20"/>
          <w:szCs w:val="20"/>
        </w:rPr>
        <w:t>Dadashi</w:t>
      </w:r>
      <w:proofErr w:type="spellEnd"/>
      <w:r w:rsidRPr="007D2BE8">
        <w:rPr>
          <w:sz w:val="20"/>
          <w:szCs w:val="20"/>
        </w:rPr>
        <w:t xml:space="preserve"> et al. [4] emphasized that ongoing education combined with HSE policies leads to improved compliance and a reduction in occupational hazards, demonstrating the synergistic effect of management frameworks and continuous training.</w:t>
      </w:r>
    </w:p>
    <w:p w14:paraId="6E3F6DBB" w14:textId="77777777" w:rsidR="007D2BE8" w:rsidRPr="007D2BE8" w:rsidRDefault="007D2BE8" w:rsidP="007D2BE8">
      <w:pPr>
        <w:pStyle w:val="NormalWeb"/>
        <w:rPr>
          <w:sz w:val="20"/>
          <w:szCs w:val="20"/>
        </w:rPr>
      </w:pPr>
      <w:r w:rsidRPr="007D2BE8">
        <w:rPr>
          <w:sz w:val="20"/>
          <w:szCs w:val="20"/>
        </w:rPr>
        <w:t xml:space="preserve">The development of a positive </w:t>
      </w:r>
      <w:r w:rsidRPr="007D2BE8">
        <w:rPr>
          <w:rStyle w:val="Strong"/>
          <w:b w:val="0"/>
          <w:bCs w:val="0"/>
          <w:sz w:val="20"/>
          <w:szCs w:val="20"/>
        </w:rPr>
        <w:t>patient safety culture</w:t>
      </w:r>
      <w:r w:rsidRPr="007D2BE8">
        <w:rPr>
          <w:sz w:val="20"/>
          <w:szCs w:val="20"/>
        </w:rPr>
        <w:t xml:space="preserve"> also plays a critical role in occupational safety. Hospitals with proactive risk management practices and strong safety cultures report fewer medical errors and reduced staff burnout [3], [7], [14]. This indicates that interventions targeting both organizational policies and individual behaviors are essential for maximizing the effectiveness of HSE management in emergency care settings.</w:t>
      </w:r>
    </w:p>
    <w:p w14:paraId="098A816B" w14:textId="77777777" w:rsidR="007D2BE8" w:rsidRDefault="007D2BE8" w:rsidP="007D2BE8">
      <w:pPr>
        <w:pStyle w:val="NormalWeb"/>
        <w:rPr>
          <w:sz w:val="20"/>
          <w:szCs w:val="20"/>
        </w:rPr>
      </w:pPr>
      <w:r w:rsidRPr="007D2BE8">
        <w:rPr>
          <w:sz w:val="20"/>
          <w:szCs w:val="20"/>
        </w:rPr>
        <w:t xml:space="preserve">Despite these advancements, several challenges persist. Staff shortages, high workloads, inconsistent policy implementation, and varying levels of engagement in safety programs remain barriers to optimal occupational safety </w:t>
      </w:r>
    </w:p>
    <w:p w14:paraId="392EFD52" w14:textId="77777777" w:rsidR="007D2BE8" w:rsidRDefault="007D2BE8" w:rsidP="007D2BE8">
      <w:pPr>
        <w:pStyle w:val="NormalWeb"/>
        <w:rPr>
          <w:sz w:val="20"/>
          <w:szCs w:val="20"/>
        </w:rPr>
      </w:pPr>
    </w:p>
    <w:p w14:paraId="12619F97" w14:textId="2193ABB5" w:rsidR="007D2BE8" w:rsidRPr="007D2BE8" w:rsidRDefault="007D2BE8" w:rsidP="007D2BE8">
      <w:pPr>
        <w:pStyle w:val="NormalWeb"/>
        <w:rPr>
          <w:sz w:val="20"/>
          <w:szCs w:val="20"/>
        </w:rPr>
      </w:pPr>
      <w:r w:rsidRPr="007D2BE8">
        <w:rPr>
          <w:sz w:val="20"/>
          <w:szCs w:val="20"/>
        </w:rPr>
        <w:t>[5], [10], [12]. Addressing these issues requires ongoing monitoring, adequate resource allocation, leadership commitment, and the integration of safety practices into the organizational culture [6], [15].</w:t>
      </w:r>
    </w:p>
    <w:p w14:paraId="463412B0" w14:textId="77777777" w:rsidR="007D2BE8" w:rsidRPr="007D2BE8" w:rsidRDefault="007D2BE8" w:rsidP="007D2BE8">
      <w:pPr>
        <w:pStyle w:val="NormalWeb"/>
        <w:rPr>
          <w:sz w:val="20"/>
          <w:szCs w:val="20"/>
        </w:rPr>
      </w:pPr>
      <w:r w:rsidRPr="007D2BE8">
        <w:rPr>
          <w:sz w:val="20"/>
          <w:szCs w:val="20"/>
        </w:rPr>
        <w:t xml:space="preserve">Comparatively, studies across different countries and hospital settings demonstrate that while HSE management systems and training programs are effective, their success depends on contextual adaptation, staff participation, and continuous evaluation [1], [7], </w:t>
      </w:r>
      <w:proofErr w:type="gramStart"/>
      <w:r w:rsidRPr="007D2BE8">
        <w:rPr>
          <w:sz w:val="20"/>
          <w:szCs w:val="20"/>
        </w:rPr>
        <w:t>[</w:t>
      </w:r>
      <w:proofErr w:type="gramEnd"/>
      <w:r w:rsidRPr="007D2BE8">
        <w:rPr>
          <w:sz w:val="20"/>
          <w:szCs w:val="20"/>
        </w:rPr>
        <w:t>15]. Hospitals that combine policy enforcement with practical training and a supportive safety culture achieve the best outcomes in reducing work-related injuries and enhancing overall emergency care quality.</w:t>
      </w:r>
    </w:p>
    <w:p w14:paraId="56BDB191" w14:textId="77777777" w:rsidR="007D2BE8" w:rsidRPr="007D2BE8" w:rsidRDefault="007D2BE8" w:rsidP="007D2BE8">
      <w:pPr>
        <w:pStyle w:val="NormalWeb"/>
        <w:rPr>
          <w:sz w:val="20"/>
          <w:szCs w:val="20"/>
        </w:rPr>
      </w:pPr>
      <w:r w:rsidRPr="007D2BE8">
        <w:rPr>
          <w:sz w:val="20"/>
          <w:szCs w:val="20"/>
        </w:rPr>
        <w:t xml:space="preserve">In summary, the evidence indicates that </w:t>
      </w:r>
      <w:r w:rsidRPr="007D2BE8">
        <w:rPr>
          <w:rStyle w:val="Strong"/>
          <w:b w:val="0"/>
          <w:bCs w:val="0"/>
          <w:sz w:val="20"/>
          <w:szCs w:val="20"/>
        </w:rPr>
        <w:t xml:space="preserve">integrated approaches combining HSE management, staff training, and a strong safety culture are crucial for reducing occupational risks in </w:t>
      </w:r>
      <w:proofErr w:type="spellStart"/>
      <w:r w:rsidRPr="007D2BE8">
        <w:rPr>
          <w:rStyle w:val="Strong"/>
          <w:b w:val="0"/>
          <w:bCs w:val="0"/>
          <w:sz w:val="20"/>
          <w:szCs w:val="20"/>
        </w:rPr>
        <w:t>EDs</w:t>
      </w:r>
      <w:r w:rsidRPr="007D2BE8">
        <w:rPr>
          <w:b/>
          <w:bCs/>
          <w:sz w:val="20"/>
          <w:szCs w:val="20"/>
        </w:rPr>
        <w:t>.</w:t>
      </w:r>
      <w:proofErr w:type="spellEnd"/>
      <w:r w:rsidRPr="007D2BE8">
        <w:rPr>
          <w:sz w:val="20"/>
          <w:szCs w:val="20"/>
        </w:rPr>
        <w:t xml:space="preserve"> These findings provide a foundation for designing interventions aimed at protecting both healthcare workers and patients while improving overall healthcare quality [1–15].</w:t>
      </w:r>
    </w:p>
    <w:p w14:paraId="60781155" w14:textId="538D0C49" w:rsidR="00D03170" w:rsidRDefault="000B200C" w:rsidP="00F93E9A">
      <w:pPr>
        <w:spacing w:line="230" w:lineRule="auto"/>
        <w:jc w:val="both"/>
        <w:rPr>
          <w:b/>
          <w:bCs/>
        </w:rPr>
      </w:pPr>
      <w:r>
        <w:rPr>
          <w:b/>
          <w:bCs/>
        </w:rPr>
        <w:t>Conclusions</w:t>
      </w:r>
    </w:p>
    <w:p w14:paraId="331EB6D2" w14:textId="77777777" w:rsidR="007D2BE8" w:rsidRDefault="007D2BE8" w:rsidP="007D2BE8">
      <w:pPr>
        <w:spacing w:line="230" w:lineRule="auto"/>
      </w:pPr>
      <w:r>
        <w:t>Emergency departments are high-risk environments where healthcare staff face numerous occupational hazards, ranging from physical injuries to psychological stress. Ensuring the safety of personnel in these settings is critical not only for staff well-being but also for maintaining high-quality patient care.</w:t>
      </w:r>
    </w:p>
    <w:p w14:paraId="3C586BC8" w14:textId="77777777" w:rsidR="007D2BE8" w:rsidRDefault="007D2BE8" w:rsidP="007D2BE8">
      <w:pPr>
        <w:spacing w:line="230" w:lineRule="auto"/>
      </w:pPr>
    </w:p>
    <w:p w14:paraId="272BBB2A" w14:textId="77777777" w:rsidR="007D2BE8" w:rsidRDefault="007D2BE8" w:rsidP="007D2BE8">
      <w:pPr>
        <w:spacing w:line="230" w:lineRule="auto"/>
      </w:pPr>
      <w:r>
        <w:t>This review highlights that the combination of structured Health, Safety, and Environment (HSE) management systems with targeted staff training is highly effective in reducing occupational risks. HSE frameworks provide clear policies, standardized safety procedures, and systematic risk assessments, while continuous training ensures that staff are aware, competent, and prepared to respond safely in emergency situations.</w:t>
      </w:r>
    </w:p>
    <w:p w14:paraId="53B7F620" w14:textId="77777777" w:rsidR="007D2BE8" w:rsidRDefault="007D2BE8" w:rsidP="007D2BE8">
      <w:pPr>
        <w:spacing w:line="230" w:lineRule="auto"/>
      </w:pPr>
    </w:p>
    <w:p w14:paraId="536A087C" w14:textId="77777777" w:rsidR="007D2BE8" w:rsidRDefault="007D2BE8" w:rsidP="007D2BE8">
      <w:pPr>
        <w:spacing w:line="230" w:lineRule="auto"/>
      </w:pPr>
      <w:r>
        <w:t>Moreover, fostering a positive safety culture within the organization reinforces adherence to protocols, encourages reporting of incidents, and promotes proactive risk management. Integrating management systems, training, and safety culture creates a synergistic effect that maximizes protection for healthcare workers and enhances overall healthcare quality.</w:t>
      </w:r>
    </w:p>
    <w:p w14:paraId="25D4553D" w14:textId="77777777" w:rsidR="007D2BE8" w:rsidRDefault="007D2BE8" w:rsidP="007D2BE8">
      <w:pPr>
        <w:spacing w:line="230" w:lineRule="auto"/>
      </w:pPr>
    </w:p>
    <w:p w14:paraId="5DD6D6FB" w14:textId="77777777" w:rsidR="007D2BE8" w:rsidRDefault="007D2BE8" w:rsidP="007D2BE8">
      <w:pPr>
        <w:spacing w:line="230" w:lineRule="auto"/>
      </w:pPr>
      <w:r>
        <w:t>Despite these benefits, challenges such as high workloads, staff shortages, inconsistent implementation, and varying engagement levels can limit effectiveness. Overcoming these obstacles requires strong leadership commitment, adequate resource allocation, and continuous evaluation of safety practices.</w:t>
      </w:r>
    </w:p>
    <w:p w14:paraId="16024283" w14:textId="77777777" w:rsidR="007D2BE8" w:rsidRDefault="007D2BE8" w:rsidP="007D2BE8">
      <w:pPr>
        <w:spacing w:line="230" w:lineRule="auto"/>
      </w:pPr>
    </w:p>
    <w:p w14:paraId="75B210E7" w14:textId="77777777" w:rsidR="007D2BE8" w:rsidRDefault="007D2BE8" w:rsidP="007D2BE8">
      <w:pPr>
        <w:spacing w:line="230" w:lineRule="auto"/>
        <w:jc w:val="both"/>
        <w:rPr>
          <w:b/>
          <w:bCs/>
        </w:rPr>
      </w:pPr>
      <w:r>
        <w:lastRenderedPageBreak/>
        <w:t>In summary, a holistic and integrated approach combining HSE management, ongoing staff education, and a supportive safety culture is essential to create safer emergency care environments. Implementing these strategies enables hospitals to reduce occupational hazards, protect personnel, and ensure safer and more reliable patient care.</w:t>
      </w:r>
    </w:p>
    <w:p w14:paraId="7C1F85A0" w14:textId="4B3F594A" w:rsidR="000B200C" w:rsidRDefault="000B200C" w:rsidP="007D2BE8">
      <w:pPr>
        <w:spacing w:line="230" w:lineRule="auto"/>
        <w:jc w:val="both"/>
      </w:pPr>
      <w:r>
        <w:rPr>
          <w:b/>
          <w:bCs/>
        </w:rPr>
        <w:t>References</w:t>
      </w:r>
      <w:r>
        <w:t xml:space="preserve"> </w:t>
      </w:r>
    </w:p>
    <w:p w14:paraId="4491F60A" w14:textId="77777777" w:rsidR="007D2BE8" w:rsidRDefault="007D2BE8" w:rsidP="007D2BE8">
      <w:pPr>
        <w:spacing w:line="230" w:lineRule="auto"/>
      </w:pPr>
      <w:r>
        <w:t>[1] Aziz A, et al., 2019. Evaluating environmental, health and safety practices in hospitals: A case study in Karachi.</w:t>
      </w:r>
    </w:p>
    <w:p w14:paraId="2E98C1BD" w14:textId="77777777" w:rsidR="007D2BE8" w:rsidRDefault="007D2BE8" w:rsidP="007D2BE8">
      <w:pPr>
        <w:spacing w:line="230" w:lineRule="auto"/>
      </w:pPr>
    </w:p>
    <w:p w14:paraId="354D3CEA" w14:textId="77777777" w:rsidR="007D2BE8" w:rsidRDefault="007D2BE8" w:rsidP="007D2BE8">
      <w:pPr>
        <w:spacing w:line="230" w:lineRule="auto"/>
      </w:pPr>
      <w:r>
        <w:t>[2] Smith J, &amp; Brown L, 2019. Occupational safety and environmental strategies in healthcare. Int J Healthcare Manage, 12(2):100–112.</w:t>
      </w:r>
    </w:p>
    <w:p w14:paraId="6F269AE5" w14:textId="77777777" w:rsidR="007D2BE8" w:rsidRDefault="007D2BE8" w:rsidP="007D2BE8">
      <w:pPr>
        <w:spacing w:line="230" w:lineRule="auto"/>
      </w:pPr>
    </w:p>
    <w:p w14:paraId="371144BE" w14:textId="77777777" w:rsidR="007D2BE8" w:rsidRDefault="007D2BE8" w:rsidP="007D2BE8">
      <w:pPr>
        <w:spacing w:line="230" w:lineRule="auto"/>
      </w:pPr>
      <w:r>
        <w:t>[3] Alabdullah H, et al., 2024. Patient Safety Culture in Hospital Settings Across Continents: A Systematic Review. Appl Sci, 14(18):8496.</w:t>
      </w:r>
    </w:p>
    <w:p w14:paraId="2C87091D" w14:textId="77777777" w:rsidR="007D2BE8" w:rsidRDefault="007D2BE8" w:rsidP="007D2BE8">
      <w:pPr>
        <w:spacing w:line="230" w:lineRule="auto"/>
      </w:pPr>
    </w:p>
    <w:p w14:paraId="53755A14" w14:textId="77777777" w:rsidR="007D2BE8" w:rsidRDefault="007D2BE8" w:rsidP="007D2BE8">
      <w:pPr>
        <w:spacing w:line="230" w:lineRule="auto"/>
      </w:pPr>
      <w:r>
        <w:t>[4] Dadashi T, et al., 2024. A comprehensive protocol for evaluating health, safety, and environmental risks of hospital solid waste. PMC.</w:t>
      </w:r>
    </w:p>
    <w:p w14:paraId="580D821D" w14:textId="77777777" w:rsidR="007D2BE8" w:rsidRDefault="007D2BE8" w:rsidP="007D2BE8">
      <w:pPr>
        <w:spacing w:line="230" w:lineRule="auto"/>
      </w:pPr>
    </w:p>
    <w:p w14:paraId="19456C01" w14:textId="77777777" w:rsidR="007D2BE8" w:rsidRDefault="007D2BE8" w:rsidP="007D2BE8">
      <w:pPr>
        <w:spacing w:line="230" w:lineRule="auto"/>
      </w:pPr>
      <w:r>
        <w:t>[5] Chalak MH, et al., 2021. Developing a semi-quantitative risk method in healthcare institutions. PubMed.</w:t>
      </w:r>
    </w:p>
    <w:p w14:paraId="174D1132" w14:textId="77777777" w:rsidR="007D2BE8" w:rsidRDefault="007D2BE8" w:rsidP="007D2BE8">
      <w:pPr>
        <w:spacing w:line="230" w:lineRule="auto"/>
      </w:pPr>
    </w:p>
    <w:p w14:paraId="029972CD" w14:textId="77777777" w:rsidR="007D2BE8" w:rsidRDefault="007D2BE8" w:rsidP="007D2BE8">
      <w:pPr>
        <w:spacing w:line="230" w:lineRule="auto"/>
      </w:pPr>
      <w:r>
        <w:t>[6] WHO, 2017. Safe management of wastes from health-care activities. Geneva: World Health Organization.</w:t>
      </w:r>
    </w:p>
    <w:p w14:paraId="53D5C876" w14:textId="77777777" w:rsidR="007D2BE8" w:rsidRDefault="007D2BE8" w:rsidP="007D2BE8">
      <w:pPr>
        <w:spacing w:line="230" w:lineRule="auto"/>
      </w:pPr>
    </w:p>
    <w:p w14:paraId="4B78343B" w14:textId="77777777" w:rsidR="007D2BE8" w:rsidRDefault="007D2BE8" w:rsidP="007D2BE8">
      <w:pPr>
        <w:spacing w:line="230" w:lineRule="auto"/>
      </w:pPr>
      <w:r>
        <w:t>[7] Adamopoulos IP, et al., 2023. Occupational safety, policy, and management in public health organizations and services. Eur J Environ Public Health, 7(1):15–27.</w:t>
      </w:r>
    </w:p>
    <w:p w14:paraId="5D789259" w14:textId="77777777" w:rsidR="007D2BE8" w:rsidRDefault="007D2BE8" w:rsidP="007D2BE8">
      <w:pPr>
        <w:spacing w:line="230" w:lineRule="auto"/>
      </w:pPr>
    </w:p>
    <w:p w14:paraId="75935524" w14:textId="77777777" w:rsidR="007D2BE8" w:rsidRDefault="007D2BE8" w:rsidP="007D2BE8">
      <w:pPr>
        <w:spacing w:line="230" w:lineRule="auto"/>
      </w:pPr>
      <w:r>
        <w:t>[8] Seifert C, et al., 2020. Environmental Management in German Hospitals. Sustainability, 12(11):4428.</w:t>
      </w:r>
    </w:p>
    <w:p w14:paraId="30364D1A" w14:textId="77777777" w:rsidR="007D2BE8" w:rsidRDefault="007D2BE8" w:rsidP="007D2BE8">
      <w:pPr>
        <w:spacing w:line="230" w:lineRule="auto"/>
      </w:pPr>
    </w:p>
    <w:p w14:paraId="2E389E36" w14:textId="77777777" w:rsidR="007D2BE8" w:rsidRDefault="007D2BE8" w:rsidP="007D2BE8">
      <w:pPr>
        <w:spacing w:line="230" w:lineRule="auto"/>
      </w:pPr>
      <w:r>
        <w:t>[9] ISO, 2018. ISO 45001: Occupational health and safety management systems — Requirements.</w:t>
      </w:r>
    </w:p>
    <w:p w14:paraId="4D1A4732" w14:textId="77777777" w:rsidR="007D2BE8" w:rsidRDefault="007D2BE8" w:rsidP="007D2BE8">
      <w:pPr>
        <w:spacing w:line="230" w:lineRule="auto"/>
      </w:pPr>
    </w:p>
    <w:p w14:paraId="042A313E" w14:textId="77777777" w:rsidR="007D2BE8" w:rsidRDefault="007D2BE8" w:rsidP="007D2BE8">
      <w:pPr>
        <w:spacing w:line="230" w:lineRule="auto"/>
      </w:pPr>
      <w:r>
        <w:t>[10] Lee K, et al., 2020. Implementing integrated HSE management in hospitals: Lessons learned. Safety Science, 129:1048.</w:t>
      </w:r>
    </w:p>
    <w:p w14:paraId="61AFD676" w14:textId="77777777" w:rsidR="007D2BE8" w:rsidRDefault="007D2BE8" w:rsidP="007D2BE8">
      <w:pPr>
        <w:spacing w:line="230" w:lineRule="auto"/>
      </w:pPr>
    </w:p>
    <w:p w14:paraId="31C35CE3" w14:textId="77777777" w:rsidR="007D2BE8" w:rsidRDefault="007D2BE8" w:rsidP="007D2BE8">
      <w:pPr>
        <w:spacing w:line="230" w:lineRule="auto"/>
      </w:pPr>
      <w:r>
        <w:t>[11] Alingh CW, et al., 2018. The influence of environmental conditions on safety management in hospitals. PMC.</w:t>
      </w:r>
    </w:p>
    <w:p w14:paraId="2ECF3926" w14:textId="77777777" w:rsidR="007D2BE8" w:rsidRDefault="007D2BE8" w:rsidP="007D2BE8">
      <w:pPr>
        <w:spacing w:line="230" w:lineRule="auto"/>
      </w:pPr>
    </w:p>
    <w:p w14:paraId="5ED0219F" w14:textId="77777777" w:rsidR="007D2BE8" w:rsidRDefault="007D2BE8" w:rsidP="007D2BE8">
      <w:pPr>
        <w:spacing w:line="230" w:lineRule="auto"/>
      </w:pPr>
      <w:r>
        <w:t>[12] Aziz A, et al., 2021. Health, safety and environmental management in hospitals: A systematic review. J Hosp Admin, 10(3):45–57.</w:t>
      </w:r>
    </w:p>
    <w:p w14:paraId="71A6C127" w14:textId="77777777" w:rsidR="007D2BE8" w:rsidRDefault="007D2BE8" w:rsidP="007D2BE8">
      <w:pPr>
        <w:spacing w:line="230" w:lineRule="auto"/>
      </w:pPr>
    </w:p>
    <w:p w14:paraId="254CE0B1" w14:textId="77777777" w:rsidR="007D2BE8" w:rsidRDefault="007D2BE8" w:rsidP="007D2BE8">
      <w:pPr>
        <w:spacing w:line="230" w:lineRule="auto"/>
      </w:pPr>
      <w:r>
        <w:t>[13] Adamopoulos IP, et al., 2020. Occupational risk assessment and training in emergency healthcare. J Occup Health, 62(4):e12150.</w:t>
      </w:r>
    </w:p>
    <w:p w14:paraId="1154B2F5" w14:textId="77777777" w:rsidR="007D2BE8" w:rsidRDefault="007D2BE8" w:rsidP="007D2BE8">
      <w:pPr>
        <w:spacing w:line="230" w:lineRule="auto"/>
      </w:pPr>
    </w:p>
    <w:p w14:paraId="79620D82" w14:textId="77777777" w:rsidR="007D2BE8" w:rsidRDefault="007D2BE8" w:rsidP="007D2BE8">
      <w:pPr>
        <w:spacing w:line="230" w:lineRule="auto"/>
      </w:pPr>
      <w:r>
        <w:t>[14] Dückers M, et al., 2009. Safety and risk management interventions in hospitals: A systematic review. PubMed.</w:t>
      </w:r>
    </w:p>
    <w:p w14:paraId="41AD3062" w14:textId="77777777" w:rsidR="007D2BE8" w:rsidRDefault="007D2BE8" w:rsidP="007D2BE8">
      <w:pPr>
        <w:spacing w:line="230" w:lineRule="auto"/>
      </w:pPr>
    </w:p>
    <w:p w14:paraId="7C5B1466" w14:textId="2C25F8B1" w:rsidR="000B200C" w:rsidRDefault="007D2BE8" w:rsidP="007D2BE8">
      <w:pPr>
        <w:spacing w:line="230" w:lineRule="auto"/>
        <w:jc w:val="both"/>
      </w:pPr>
      <w:r>
        <w:t>[15] Chalak MH, et al., 2022. Enhancing patient and staff safety through combined HSE management and training interventions. Health Care Manage Rev, 47(2):123–134.</w:t>
      </w:r>
    </w:p>
    <w:p w14:paraId="2C84AC49" w14:textId="77777777" w:rsidR="000B200C" w:rsidRDefault="000B200C" w:rsidP="00992AEA">
      <w:pPr>
        <w:spacing w:line="230" w:lineRule="auto"/>
        <w:jc w:val="both"/>
        <w:rPr>
          <w:lang w:bidi="fa-IR"/>
        </w:rPr>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3CA1C" w14:textId="77777777" w:rsidR="00165D55" w:rsidRDefault="00165D55">
      <w:r>
        <w:separator/>
      </w:r>
    </w:p>
  </w:endnote>
  <w:endnote w:type="continuationSeparator" w:id="0">
    <w:p w14:paraId="08F6C5AF" w14:textId="77777777" w:rsidR="00165D55" w:rsidRDefault="0016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C11292" w:rsidRDefault="00C11292" w:rsidP="008C75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187C0E" w14:textId="77777777" w:rsidR="00C11292" w:rsidRDefault="00C11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46206482" w:rsidR="00C11292" w:rsidRPr="009869C7" w:rsidRDefault="00C11292">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C841DA">
      <w:rPr>
        <w:caps/>
      </w:rPr>
      <w:t>5</w:t>
    </w:r>
    <w:r w:rsidRPr="009869C7">
      <w:rPr>
        <w:caps/>
      </w:rPr>
      <w:fldChar w:fldCharType="end"/>
    </w:r>
  </w:p>
  <w:p w14:paraId="20575974" w14:textId="77777777" w:rsidR="00C11292" w:rsidRDefault="00C11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E1948" w14:textId="77777777" w:rsidR="00165D55" w:rsidRDefault="00165D55" w:rsidP="0010114F">
      <w:pPr>
        <w:bidi/>
      </w:pPr>
      <w:r>
        <w:separator/>
      </w:r>
    </w:p>
  </w:footnote>
  <w:footnote w:type="continuationSeparator" w:id="0">
    <w:p w14:paraId="0E88FA3C" w14:textId="77777777" w:rsidR="00165D55" w:rsidRDefault="00165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07F36AE0" w:rsidR="00C11292" w:rsidRDefault="00C11292"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B02327"/>
    <w:multiLevelType w:val="multilevel"/>
    <w:tmpl w:val="B108F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32C79"/>
    <w:multiLevelType w:val="multilevel"/>
    <w:tmpl w:val="90A6B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9C7F42"/>
    <w:multiLevelType w:val="multilevel"/>
    <w:tmpl w:val="B7CE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424EBB"/>
    <w:multiLevelType w:val="multilevel"/>
    <w:tmpl w:val="40021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5014D2"/>
    <w:multiLevelType w:val="multilevel"/>
    <w:tmpl w:val="F6A8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3FD172B8"/>
    <w:multiLevelType w:val="multilevel"/>
    <w:tmpl w:val="BC86D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79592A"/>
    <w:multiLevelType w:val="multilevel"/>
    <w:tmpl w:val="C4D82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6F6F7E"/>
    <w:multiLevelType w:val="multilevel"/>
    <w:tmpl w:val="ED2A0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515C17"/>
    <w:multiLevelType w:val="multilevel"/>
    <w:tmpl w:val="4B5C9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E92A39"/>
    <w:multiLevelType w:val="multilevel"/>
    <w:tmpl w:val="1BCA6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454656"/>
    <w:multiLevelType w:val="multilevel"/>
    <w:tmpl w:val="18AA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DD078D"/>
    <w:multiLevelType w:val="multilevel"/>
    <w:tmpl w:val="B444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C12718"/>
    <w:multiLevelType w:val="multilevel"/>
    <w:tmpl w:val="F9F85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6"/>
  </w:num>
  <w:num w:numId="3">
    <w:abstractNumId w:val="27"/>
  </w:num>
  <w:num w:numId="4">
    <w:abstractNumId w:val="0"/>
  </w:num>
  <w:num w:numId="5">
    <w:abstractNumId w:val="10"/>
  </w:num>
  <w:num w:numId="6">
    <w:abstractNumId w:val="25"/>
  </w:num>
  <w:num w:numId="7">
    <w:abstractNumId w:val="2"/>
  </w:num>
  <w:num w:numId="8">
    <w:abstractNumId w:val="19"/>
  </w:num>
  <w:num w:numId="9">
    <w:abstractNumId w:val="24"/>
  </w:num>
  <w:num w:numId="10">
    <w:abstractNumId w:val="3"/>
  </w:num>
  <w:num w:numId="11">
    <w:abstractNumId w:val="17"/>
  </w:num>
  <w:num w:numId="12">
    <w:abstractNumId w:val="4"/>
  </w:num>
  <w:num w:numId="13">
    <w:abstractNumId w:val="21"/>
  </w:num>
  <w:num w:numId="14">
    <w:abstractNumId w:val="26"/>
  </w:num>
  <w:num w:numId="15">
    <w:abstractNumId w:val="20"/>
  </w:num>
  <w:num w:numId="16">
    <w:abstractNumId w:val="22"/>
  </w:num>
  <w:num w:numId="17">
    <w:abstractNumId w:val="16"/>
  </w:num>
  <w:num w:numId="18">
    <w:abstractNumId w:val="14"/>
  </w:num>
  <w:num w:numId="19">
    <w:abstractNumId w:val="7"/>
  </w:num>
  <w:num w:numId="20">
    <w:abstractNumId w:val="8"/>
  </w:num>
  <w:num w:numId="21">
    <w:abstractNumId w:val="11"/>
  </w:num>
  <w:num w:numId="22">
    <w:abstractNumId w:val="18"/>
  </w:num>
  <w:num w:numId="23">
    <w:abstractNumId w:val="23"/>
  </w:num>
  <w:num w:numId="24">
    <w:abstractNumId w:val="1"/>
  </w:num>
  <w:num w:numId="25">
    <w:abstractNumId w:val="12"/>
  </w:num>
  <w:num w:numId="26">
    <w:abstractNumId w:val="5"/>
  </w:num>
  <w:num w:numId="27">
    <w:abstractNumId w:val="15"/>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25B3"/>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0F2332"/>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5D55"/>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C6A4A"/>
    <w:rsid w:val="001D0698"/>
    <w:rsid w:val="001D6CE4"/>
    <w:rsid w:val="001E3013"/>
    <w:rsid w:val="001E40EF"/>
    <w:rsid w:val="001E4699"/>
    <w:rsid w:val="001F1E2E"/>
    <w:rsid w:val="001F2563"/>
    <w:rsid w:val="001F4258"/>
    <w:rsid w:val="00201F44"/>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4687"/>
    <w:rsid w:val="00276008"/>
    <w:rsid w:val="0027720C"/>
    <w:rsid w:val="00285468"/>
    <w:rsid w:val="00290D64"/>
    <w:rsid w:val="00291525"/>
    <w:rsid w:val="00292AE6"/>
    <w:rsid w:val="0029474E"/>
    <w:rsid w:val="00296950"/>
    <w:rsid w:val="00297565"/>
    <w:rsid w:val="002A11CB"/>
    <w:rsid w:val="002A193A"/>
    <w:rsid w:val="002A2152"/>
    <w:rsid w:val="002A25C8"/>
    <w:rsid w:val="002A796F"/>
    <w:rsid w:val="002A7974"/>
    <w:rsid w:val="002B04C5"/>
    <w:rsid w:val="002B1C70"/>
    <w:rsid w:val="002B2A44"/>
    <w:rsid w:val="002B3173"/>
    <w:rsid w:val="002B3BAD"/>
    <w:rsid w:val="002B7DCC"/>
    <w:rsid w:val="002C3C94"/>
    <w:rsid w:val="002C7D8B"/>
    <w:rsid w:val="002D5004"/>
    <w:rsid w:val="002D6EAE"/>
    <w:rsid w:val="002D7C93"/>
    <w:rsid w:val="002E35D5"/>
    <w:rsid w:val="002E38A9"/>
    <w:rsid w:val="002E55BC"/>
    <w:rsid w:val="002E5D92"/>
    <w:rsid w:val="002E5DCF"/>
    <w:rsid w:val="002F45C4"/>
    <w:rsid w:val="002F594F"/>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100F"/>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34D6"/>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3B4C"/>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2745F"/>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B63"/>
    <w:rsid w:val="00570FEC"/>
    <w:rsid w:val="0057301A"/>
    <w:rsid w:val="005776E5"/>
    <w:rsid w:val="00583F0F"/>
    <w:rsid w:val="00585B4E"/>
    <w:rsid w:val="005900EF"/>
    <w:rsid w:val="00590891"/>
    <w:rsid w:val="00593F13"/>
    <w:rsid w:val="00594C88"/>
    <w:rsid w:val="00595CBD"/>
    <w:rsid w:val="0059697C"/>
    <w:rsid w:val="005B6E01"/>
    <w:rsid w:val="005B7C78"/>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508F"/>
    <w:rsid w:val="00766037"/>
    <w:rsid w:val="00770F6C"/>
    <w:rsid w:val="00777A52"/>
    <w:rsid w:val="00783DE3"/>
    <w:rsid w:val="0079234A"/>
    <w:rsid w:val="0079383F"/>
    <w:rsid w:val="007A7A27"/>
    <w:rsid w:val="007C1BFF"/>
    <w:rsid w:val="007C2032"/>
    <w:rsid w:val="007C2B72"/>
    <w:rsid w:val="007D2A63"/>
    <w:rsid w:val="007D2BE8"/>
    <w:rsid w:val="007D62B6"/>
    <w:rsid w:val="007D68E1"/>
    <w:rsid w:val="007E1DFC"/>
    <w:rsid w:val="007E31F1"/>
    <w:rsid w:val="007E5C60"/>
    <w:rsid w:val="007E704E"/>
    <w:rsid w:val="007F47BC"/>
    <w:rsid w:val="007F54EE"/>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B59B9"/>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79B"/>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004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1EA1"/>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3539"/>
    <w:rsid w:val="00AB7CF0"/>
    <w:rsid w:val="00AC2167"/>
    <w:rsid w:val="00AC2E84"/>
    <w:rsid w:val="00AC32EB"/>
    <w:rsid w:val="00AC400D"/>
    <w:rsid w:val="00AC5402"/>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38B5"/>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4E58"/>
    <w:rsid w:val="00BA5A0B"/>
    <w:rsid w:val="00BA7254"/>
    <w:rsid w:val="00BB48F9"/>
    <w:rsid w:val="00BB773E"/>
    <w:rsid w:val="00BC43AC"/>
    <w:rsid w:val="00BC7208"/>
    <w:rsid w:val="00BC7950"/>
    <w:rsid w:val="00BD0793"/>
    <w:rsid w:val="00BD37AC"/>
    <w:rsid w:val="00BD614A"/>
    <w:rsid w:val="00BD6CE5"/>
    <w:rsid w:val="00BF4CA1"/>
    <w:rsid w:val="00C03CB8"/>
    <w:rsid w:val="00C04412"/>
    <w:rsid w:val="00C04C99"/>
    <w:rsid w:val="00C0751F"/>
    <w:rsid w:val="00C1008B"/>
    <w:rsid w:val="00C101AC"/>
    <w:rsid w:val="00C11292"/>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41DA"/>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0BFF"/>
    <w:rsid w:val="00CE151D"/>
    <w:rsid w:val="00CE4842"/>
    <w:rsid w:val="00CE6FE5"/>
    <w:rsid w:val="00CF23AB"/>
    <w:rsid w:val="00CF23DD"/>
    <w:rsid w:val="00CF43C5"/>
    <w:rsid w:val="00D001B3"/>
    <w:rsid w:val="00D03170"/>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3757B"/>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700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E2C5B"/>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67835"/>
    <w:rsid w:val="00F71E7E"/>
    <w:rsid w:val="00F728DC"/>
    <w:rsid w:val="00F82249"/>
    <w:rsid w:val="00F82916"/>
    <w:rsid w:val="00F8313C"/>
    <w:rsid w:val="00F857F0"/>
    <w:rsid w:val="00F8777D"/>
    <w:rsid w:val="00F87A7A"/>
    <w:rsid w:val="00F93332"/>
    <w:rsid w:val="00F93E9A"/>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3BFA"/>
    <w:rsid w:val="00FE6745"/>
    <w:rsid w:val="00FE7133"/>
    <w:rsid w:val="00FF17B1"/>
    <w:rsid w:val="00FF18EA"/>
    <w:rsid w:val="00FF26C9"/>
    <w:rsid w:val="00FF5226"/>
    <w:rsid w:val="00FF59CA"/>
    <w:rsid w:val="00FF7044"/>
    <w:rsid w:val="00FF7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AC5402"/>
    <w:pPr>
      <w:spacing w:before="100" w:beforeAutospacing="1" w:after="100" w:afterAutospacing="1"/>
    </w:pPr>
    <w:rPr>
      <w:rFonts w:cs="Times New Roman"/>
      <w:noProof w:val="0"/>
      <w:sz w:val="24"/>
      <w:szCs w:val="24"/>
      <w:lang w:bidi="fa-IR"/>
    </w:rPr>
  </w:style>
  <w:style w:type="paragraph" w:styleId="ListParagraph">
    <w:name w:val="List Paragraph"/>
    <w:basedOn w:val="Normal"/>
    <w:uiPriority w:val="34"/>
    <w:qFormat/>
    <w:rsid w:val="00AC5402"/>
    <w:pPr>
      <w:ind w:left="720"/>
      <w:contextualSpacing/>
    </w:pPr>
  </w:style>
  <w:style w:type="table" w:styleId="TableGridLight">
    <w:name w:val="Grid Table Light"/>
    <w:basedOn w:val="TableNormal"/>
    <w:uiPriority w:val="40"/>
    <w:rsid w:val="00D0317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7713">
      <w:bodyDiv w:val="1"/>
      <w:marLeft w:val="0"/>
      <w:marRight w:val="0"/>
      <w:marTop w:val="0"/>
      <w:marBottom w:val="0"/>
      <w:divBdr>
        <w:top w:val="none" w:sz="0" w:space="0" w:color="auto"/>
        <w:left w:val="none" w:sz="0" w:space="0" w:color="auto"/>
        <w:bottom w:val="none" w:sz="0" w:space="0" w:color="auto"/>
        <w:right w:val="none" w:sz="0" w:space="0" w:color="auto"/>
      </w:divBdr>
    </w:div>
    <w:div w:id="14894283">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8823885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166676453">
      <w:bodyDiv w:val="1"/>
      <w:marLeft w:val="0"/>
      <w:marRight w:val="0"/>
      <w:marTop w:val="0"/>
      <w:marBottom w:val="0"/>
      <w:divBdr>
        <w:top w:val="none" w:sz="0" w:space="0" w:color="auto"/>
        <w:left w:val="none" w:sz="0" w:space="0" w:color="auto"/>
        <w:bottom w:val="none" w:sz="0" w:space="0" w:color="auto"/>
        <w:right w:val="none" w:sz="0" w:space="0" w:color="auto"/>
      </w:divBdr>
    </w:div>
    <w:div w:id="220822777">
      <w:bodyDiv w:val="1"/>
      <w:marLeft w:val="0"/>
      <w:marRight w:val="0"/>
      <w:marTop w:val="0"/>
      <w:marBottom w:val="0"/>
      <w:divBdr>
        <w:top w:val="none" w:sz="0" w:space="0" w:color="auto"/>
        <w:left w:val="none" w:sz="0" w:space="0" w:color="auto"/>
        <w:bottom w:val="none" w:sz="0" w:space="0" w:color="auto"/>
        <w:right w:val="none" w:sz="0" w:space="0" w:color="auto"/>
      </w:divBdr>
    </w:div>
    <w:div w:id="322006425">
      <w:bodyDiv w:val="1"/>
      <w:marLeft w:val="0"/>
      <w:marRight w:val="0"/>
      <w:marTop w:val="0"/>
      <w:marBottom w:val="0"/>
      <w:divBdr>
        <w:top w:val="none" w:sz="0" w:space="0" w:color="auto"/>
        <w:left w:val="none" w:sz="0" w:space="0" w:color="auto"/>
        <w:bottom w:val="none" w:sz="0" w:space="0" w:color="auto"/>
        <w:right w:val="none" w:sz="0" w:space="0" w:color="auto"/>
      </w:divBdr>
    </w:div>
    <w:div w:id="360473175">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59232153">
      <w:bodyDiv w:val="1"/>
      <w:marLeft w:val="0"/>
      <w:marRight w:val="0"/>
      <w:marTop w:val="0"/>
      <w:marBottom w:val="0"/>
      <w:divBdr>
        <w:top w:val="none" w:sz="0" w:space="0" w:color="auto"/>
        <w:left w:val="none" w:sz="0" w:space="0" w:color="auto"/>
        <w:bottom w:val="none" w:sz="0" w:space="0" w:color="auto"/>
        <w:right w:val="none" w:sz="0" w:space="0" w:color="auto"/>
      </w:divBdr>
    </w:div>
    <w:div w:id="463545966">
      <w:bodyDiv w:val="1"/>
      <w:marLeft w:val="0"/>
      <w:marRight w:val="0"/>
      <w:marTop w:val="0"/>
      <w:marBottom w:val="0"/>
      <w:divBdr>
        <w:top w:val="none" w:sz="0" w:space="0" w:color="auto"/>
        <w:left w:val="none" w:sz="0" w:space="0" w:color="auto"/>
        <w:bottom w:val="none" w:sz="0" w:space="0" w:color="auto"/>
        <w:right w:val="none" w:sz="0" w:space="0" w:color="auto"/>
      </w:divBdr>
    </w:div>
    <w:div w:id="468594071">
      <w:bodyDiv w:val="1"/>
      <w:marLeft w:val="0"/>
      <w:marRight w:val="0"/>
      <w:marTop w:val="0"/>
      <w:marBottom w:val="0"/>
      <w:divBdr>
        <w:top w:val="none" w:sz="0" w:space="0" w:color="auto"/>
        <w:left w:val="none" w:sz="0" w:space="0" w:color="auto"/>
        <w:bottom w:val="none" w:sz="0" w:space="0" w:color="auto"/>
        <w:right w:val="none" w:sz="0" w:space="0" w:color="auto"/>
      </w:divBdr>
    </w:div>
    <w:div w:id="484012676">
      <w:bodyDiv w:val="1"/>
      <w:marLeft w:val="0"/>
      <w:marRight w:val="0"/>
      <w:marTop w:val="0"/>
      <w:marBottom w:val="0"/>
      <w:divBdr>
        <w:top w:val="none" w:sz="0" w:space="0" w:color="auto"/>
        <w:left w:val="none" w:sz="0" w:space="0" w:color="auto"/>
        <w:bottom w:val="none" w:sz="0" w:space="0" w:color="auto"/>
        <w:right w:val="none" w:sz="0" w:space="0" w:color="auto"/>
      </w:divBdr>
      <w:divsChild>
        <w:div w:id="294680435">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493105496">
      <w:bodyDiv w:val="1"/>
      <w:marLeft w:val="0"/>
      <w:marRight w:val="0"/>
      <w:marTop w:val="0"/>
      <w:marBottom w:val="0"/>
      <w:divBdr>
        <w:top w:val="none" w:sz="0" w:space="0" w:color="auto"/>
        <w:left w:val="none" w:sz="0" w:space="0" w:color="auto"/>
        <w:bottom w:val="none" w:sz="0" w:space="0" w:color="auto"/>
        <w:right w:val="none" w:sz="0" w:space="0" w:color="auto"/>
      </w:divBdr>
      <w:divsChild>
        <w:div w:id="691608619">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526412512">
      <w:bodyDiv w:val="1"/>
      <w:marLeft w:val="0"/>
      <w:marRight w:val="0"/>
      <w:marTop w:val="0"/>
      <w:marBottom w:val="0"/>
      <w:divBdr>
        <w:top w:val="none" w:sz="0" w:space="0" w:color="auto"/>
        <w:left w:val="none" w:sz="0" w:space="0" w:color="auto"/>
        <w:bottom w:val="none" w:sz="0" w:space="0" w:color="auto"/>
        <w:right w:val="none" w:sz="0" w:space="0" w:color="auto"/>
      </w:divBdr>
    </w:div>
    <w:div w:id="537550816">
      <w:bodyDiv w:val="1"/>
      <w:marLeft w:val="0"/>
      <w:marRight w:val="0"/>
      <w:marTop w:val="0"/>
      <w:marBottom w:val="0"/>
      <w:divBdr>
        <w:top w:val="none" w:sz="0" w:space="0" w:color="auto"/>
        <w:left w:val="none" w:sz="0" w:space="0" w:color="auto"/>
        <w:bottom w:val="none" w:sz="0" w:space="0" w:color="auto"/>
        <w:right w:val="none" w:sz="0" w:space="0" w:color="auto"/>
      </w:divBdr>
    </w:div>
    <w:div w:id="544561679">
      <w:bodyDiv w:val="1"/>
      <w:marLeft w:val="0"/>
      <w:marRight w:val="0"/>
      <w:marTop w:val="0"/>
      <w:marBottom w:val="0"/>
      <w:divBdr>
        <w:top w:val="none" w:sz="0" w:space="0" w:color="auto"/>
        <w:left w:val="none" w:sz="0" w:space="0" w:color="auto"/>
        <w:bottom w:val="none" w:sz="0" w:space="0" w:color="auto"/>
        <w:right w:val="none" w:sz="0" w:space="0" w:color="auto"/>
      </w:divBdr>
    </w:div>
    <w:div w:id="552742665">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598218263">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5738769">
      <w:bodyDiv w:val="1"/>
      <w:marLeft w:val="0"/>
      <w:marRight w:val="0"/>
      <w:marTop w:val="0"/>
      <w:marBottom w:val="0"/>
      <w:divBdr>
        <w:top w:val="none" w:sz="0" w:space="0" w:color="auto"/>
        <w:left w:val="none" w:sz="0" w:space="0" w:color="auto"/>
        <w:bottom w:val="none" w:sz="0" w:space="0" w:color="auto"/>
        <w:right w:val="none" w:sz="0" w:space="0" w:color="auto"/>
      </w:divBdr>
    </w:div>
    <w:div w:id="627123792">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09300736">
      <w:bodyDiv w:val="1"/>
      <w:marLeft w:val="0"/>
      <w:marRight w:val="0"/>
      <w:marTop w:val="0"/>
      <w:marBottom w:val="0"/>
      <w:divBdr>
        <w:top w:val="none" w:sz="0" w:space="0" w:color="auto"/>
        <w:left w:val="none" w:sz="0" w:space="0" w:color="auto"/>
        <w:bottom w:val="none" w:sz="0" w:space="0" w:color="auto"/>
        <w:right w:val="none" w:sz="0" w:space="0" w:color="auto"/>
      </w:divBdr>
    </w:div>
    <w:div w:id="716049514">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58645700">
      <w:bodyDiv w:val="1"/>
      <w:marLeft w:val="0"/>
      <w:marRight w:val="0"/>
      <w:marTop w:val="0"/>
      <w:marBottom w:val="0"/>
      <w:divBdr>
        <w:top w:val="none" w:sz="0" w:space="0" w:color="auto"/>
        <w:left w:val="none" w:sz="0" w:space="0" w:color="auto"/>
        <w:bottom w:val="none" w:sz="0" w:space="0" w:color="auto"/>
        <w:right w:val="none" w:sz="0" w:space="0" w:color="auto"/>
      </w:divBdr>
    </w:div>
    <w:div w:id="758871595">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14837863">
      <w:bodyDiv w:val="1"/>
      <w:marLeft w:val="0"/>
      <w:marRight w:val="0"/>
      <w:marTop w:val="0"/>
      <w:marBottom w:val="0"/>
      <w:divBdr>
        <w:top w:val="none" w:sz="0" w:space="0" w:color="auto"/>
        <w:left w:val="none" w:sz="0" w:space="0" w:color="auto"/>
        <w:bottom w:val="none" w:sz="0" w:space="0" w:color="auto"/>
        <w:right w:val="none" w:sz="0" w:space="0" w:color="auto"/>
      </w:divBdr>
    </w:div>
    <w:div w:id="831603321">
      <w:bodyDiv w:val="1"/>
      <w:marLeft w:val="0"/>
      <w:marRight w:val="0"/>
      <w:marTop w:val="0"/>
      <w:marBottom w:val="0"/>
      <w:divBdr>
        <w:top w:val="none" w:sz="0" w:space="0" w:color="auto"/>
        <w:left w:val="none" w:sz="0" w:space="0" w:color="auto"/>
        <w:bottom w:val="none" w:sz="0" w:space="0" w:color="auto"/>
        <w:right w:val="none" w:sz="0" w:space="0" w:color="auto"/>
      </w:divBdr>
    </w:div>
    <w:div w:id="835194964">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91252993">
      <w:bodyDiv w:val="1"/>
      <w:marLeft w:val="0"/>
      <w:marRight w:val="0"/>
      <w:marTop w:val="0"/>
      <w:marBottom w:val="0"/>
      <w:divBdr>
        <w:top w:val="none" w:sz="0" w:space="0" w:color="auto"/>
        <w:left w:val="none" w:sz="0" w:space="0" w:color="auto"/>
        <w:bottom w:val="none" w:sz="0" w:space="0" w:color="auto"/>
        <w:right w:val="none" w:sz="0" w:space="0" w:color="auto"/>
      </w:divBdr>
    </w:div>
    <w:div w:id="1000893529">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29469675">
      <w:bodyDiv w:val="1"/>
      <w:marLeft w:val="0"/>
      <w:marRight w:val="0"/>
      <w:marTop w:val="0"/>
      <w:marBottom w:val="0"/>
      <w:divBdr>
        <w:top w:val="none" w:sz="0" w:space="0" w:color="auto"/>
        <w:left w:val="none" w:sz="0" w:space="0" w:color="auto"/>
        <w:bottom w:val="none" w:sz="0" w:space="0" w:color="auto"/>
        <w:right w:val="none" w:sz="0" w:space="0" w:color="auto"/>
      </w:divBdr>
      <w:divsChild>
        <w:div w:id="1092552462">
          <w:marLeft w:val="0"/>
          <w:marRight w:val="0"/>
          <w:marTop w:val="0"/>
          <w:marBottom w:val="0"/>
          <w:divBdr>
            <w:top w:val="single" w:sz="6" w:space="0" w:color="000000"/>
            <w:left w:val="single" w:sz="6" w:space="0" w:color="000000"/>
            <w:bottom w:val="single" w:sz="6" w:space="0" w:color="000000"/>
            <w:right w:val="single" w:sz="6" w:space="0" w:color="000000"/>
          </w:divBdr>
        </w:div>
      </w:divsChild>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74034108">
      <w:bodyDiv w:val="1"/>
      <w:marLeft w:val="0"/>
      <w:marRight w:val="0"/>
      <w:marTop w:val="0"/>
      <w:marBottom w:val="0"/>
      <w:divBdr>
        <w:top w:val="none" w:sz="0" w:space="0" w:color="auto"/>
        <w:left w:val="none" w:sz="0" w:space="0" w:color="auto"/>
        <w:bottom w:val="none" w:sz="0" w:space="0" w:color="auto"/>
        <w:right w:val="none" w:sz="0" w:space="0" w:color="auto"/>
      </w:divBdr>
    </w:div>
    <w:div w:id="11869462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03987776">
      <w:bodyDiv w:val="1"/>
      <w:marLeft w:val="0"/>
      <w:marRight w:val="0"/>
      <w:marTop w:val="0"/>
      <w:marBottom w:val="0"/>
      <w:divBdr>
        <w:top w:val="none" w:sz="0" w:space="0" w:color="auto"/>
        <w:left w:val="none" w:sz="0" w:space="0" w:color="auto"/>
        <w:bottom w:val="none" w:sz="0" w:space="0" w:color="auto"/>
        <w:right w:val="none" w:sz="0" w:space="0" w:color="auto"/>
      </w:divBdr>
    </w:div>
    <w:div w:id="1411581515">
      <w:bodyDiv w:val="1"/>
      <w:marLeft w:val="0"/>
      <w:marRight w:val="0"/>
      <w:marTop w:val="0"/>
      <w:marBottom w:val="0"/>
      <w:divBdr>
        <w:top w:val="none" w:sz="0" w:space="0" w:color="auto"/>
        <w:left w:val="none" w:sz="0" w:space="0" w:color="auto"/>
        <w:bottom w:val="none" w:sz="0" w:space="0" w:color="auto"/>
        <w:right w:val="none" w:sz="0" w:space="0" w:color="auto"/>
      </w:divBdr>
    </w:div>
    <w:div w:id="1423530756">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54584485">
      <w:bodyDiv w:val="1"/>
      <w:marLeft w:val="0"/>
      <w:marRight w:val="0"/>
      <w:marTop w:val="0"/>
      <w:marBottom w:val="0"/>
      <w:divBdr>
        <w:top w:val="none" w:sz="0" w:space="0" w:color="auto"/>
        <w:left w:val="none" w:sz="0" w:space="0" w:color="auto"/>
        <w:bottom w:val="none" w:sz="0" w:space="0" w:color="auto"/>
        <w:right w:val="none" w:sz="0" w:space="0" w:color="auto"/>
      </w:divBdr>
    </w:div>
    <w:div w:id="1594707615">
      <w:bodyDiv w:val="1"/>
      <w:marLeft w:val="0"/>
      <w:marRight w:val="0"/>
      <w:marTop w:val="0"/>
      <w:marBottom w:val="0"/>
      <w:divBdr>
        <w:top w:val="none" w:sz="0" w:space="0" w:color="auto"/>
        <w:left w:val="none" w:sz="0" w:space="0" w:color="auto"/>
        <w:bottom w:val="none" w:sz="0" w:space="0" w:color="auto"/>
        <w:right w:val="none" w:sz="0" w:space="0" w:color="auto"/>
      </w:divBdr>
    </w:div>
    <w:div w:id="1623925967">
      <w:bodyDiv w:val="1"/>
      <w:marLeft w:val="0"/>
      <w:marRight w:val="0"/>
      <w:marTop w:val="0"/>
      <w:marBottom w:val="0"/>
      <w:divBdr>
        <w:top w:val="none" w:sz="0" w:space="0" w:color="auto"/>
        <w:left w:val="none" w:sz="0" w:space="0" w:color="auto"/>
        <w:bottom w:val="none" w:sz="0" w:space="0" w:color="auto"/>
        <w:right w:val="none" w:sz="0" w:space="0" w:color="auto"/>
      </w:divBdr>
    </w:div>
    <w:div w:id="1640381615">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00004860">
      <w:bodyDiv w:val="1"/>
      <w:marLeft w:val="0"/>
      <w:marRight w:val="0"/>
      <w:marTop w:val="0"/>
      <w:marBottom w:val="0"/>
      <w:divBdr>
        <w:top w:val="none" w:sz="0" w:space="0" w:color="auto"/>
        <w:left w:val="none" w:sz="0" w:space="0" w:color="auto"/>
        <w:bottom w:val="none" w:sz="0" w:space="0" w:color="auto"/>
        <w:right w:val="none" w:sz="0" w:space="0" w:color="auto"/>
      </w:divBdr>
    </w:div>
    <w:div w:id="1737166756">
      <w:bodyDiv w:val="1"/>
      <w:marLeft w:val="0"/>
      <w:marRight w:val="0"/>
      <w:marTop w:val="0"/>
      <w:marBottom w:val="0"/>
      <w:divBdr>
        <w:top w:val="none" w:sz="0" w:space="0" w:color="auto"/>
        <w:left w:val="none" w:sz="0" w:space="0" w:color="auto"/>
        <w:bottom w:val="none" w:sz="0" w:space="0" w:color="auto"/>
        <w:right w:val="none" w:sz="0" w:space="0" w:color="auto"/>
      </w:divBdr>
      <w:divsChild>
        <w:div w:id="435447092">
          <w:marLeft w:val="0"/>
          <w:marRight w:val="0"/>
          <w:marTop w:val="0"/>
          <w:marBottom w:val="0"/>
          <w:divBdr>
            <w:top w:val="none" w:sz="0" w:space="0" w:color="auto"/>
            <w:left w:val="none" w:sz="0" w:space="0" w:color="auto"/>
            <w:bottom w:val="none" w:sz="0" w:space="0" w:color="auto"/>
            <w:right w:val="none" w:sz="0" w:space="0" w:color="auto"/>
          </w:divBdr>
          <w:divsChild>
            <w:div w:id="545919104">
              <w:marLeft w:val="0"/>
              <w:marRight w:val="0"/>
              <w:marTop w:val="0"/>
              <w:marBottom w:val="0"/>
              <w:divBdr>
                <w:top w:val="none" w:sz="0" w:space="0" w:color="auto"/>
                <w:left w:val="none" w:sz="0" w:space="0" w:color="auto"/>
                <w:bottom w:val="none" w:sz="0" w:space="0" w:color="auto"/>
                <w:right w:val="none" w:sz="0" w:space="0" w:color="auto"/>
              </w:divBdr>
              <w:divsChild>
                <w:div w:id="1331719143">
                  <w:marLeft w:val="0"/>
                  <w:marRight w:val="0"/>
                  <w:marTop w:val="0"/>
                  <w:marBottom w:val="0"/>
                  <w:divBdr>
                    <w:top w:val="none" w:sz="0" w:space="0" w:color="auto"/>
                    <w:left w:val="none" w:sz="0" w:space="0" w:color="auto"/>
                    <w:bottom w:val="none" w:sz="0" w:space="0" w:color="auto"/>
                    <w:right w:val="none" w:sz="0" w:space="0" w:color="auto"/>
                  </w:divBdr>
                  <w:divsChild>
                    <w:div w:id="1648047737">
                      <w:marLeft w:val="0"/>
                      <w:marRight w:val="0"/>
                      <w:marTop w:val="0"/>
                      <w:marBottom w:val="0"/>
                      <w:divBdr>
                        <w:top w:val="none" w:sz="0" w:space="0" w:color="auto"/>
                        <w:left w:val="none" w:sz="0" w:space="0" w:color="auto"/>
                        <w:bottom w:val="none" w:sz="0" w:space="0" w:color="auto"/>
                        <w:right w:val="none" w:sz="0" w:space="0" w:color="auto"/>
                      </w:divBdr>
                      <w:divsChild>
                        <w:div w:id="2084839746">
                          <w:marLeft w:val="0"/>
                          <w:marRight w:val="0"/>
                          <w:marTop w:val="0"/>
                          <w:marBottom w:val="0"/>
                          <w:divBdr>
                            <w:top w:val="none" w:sz="0" w:space="0" w:color="auto"/>
                            <w:left w:val="none" w:sz="0" w:space="0" w:color="auto"/>
                            <w:bottom w:val="none" w:sz="0" w:space="0" w:color="auto"/>
                            <w:right w:val="none" w:sz="0" w:space="0" w:color="auto"/>
                          </w:divBdr>
                          <w:divsChild>
                            <w:div w:id="1501577077">
                              <w:marLeft w:val="0"/>
                              <w:marRight w:val="0"/>
                              <w:marTop w:val="0"/>
                              <w:marBottom w:val="0"/>
                              <w:divBdr>
                                <w:top w:val="none" w:sz="0" w:space="0" w:color="auto"/>
                                <w:left w:val="none" w:sz="0" w:space="0" w:color="auto"/>
                                <w:bottom w:val="none" w:sz="0" w:space="0" w:color="auto"/>
                                <w:right w:val="none" w:sz="0" w:space="0" w:color="auto"/>
                              </w:divBdr>
                              <w:divsChild>
                                <w:div w:id="176038640">
                                  <w:marLeft w:val="0"/>
                                  <w:marRight w:val="0"/>
                                  <w:marTop w:val="0"/>
                                  <w:marBottom w:val="0"/>
                                  <w:divBdr>
                                    <w:top w:val="none" w:sz="0" w:space="0" w:color="auto"/>
                                    <w:left w:val="none" w:sz="0" w:space="0" w:color="auto"/>
                                    <w:bottom w:val="none" w:sz="0" w:space="0" w:color="auto"/>
                                    <w:right w:val="none" w:sz="0" w:space="0" w:color="auto"/>
                                  </w:divBdr>
                                  <w:divsChild>
                                    <w:div w:id="191104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790665672">
      <w:bodyDiv w:val="1"/>
      <w:marLeft w:val="0"/>
      <w:marRight w:val="0"/>
      <w:marTop w:val="0"/>
      <w:marBottom w:val="0"/>
      <w:divBdr>
        <w:top w:val="none" w:sz="0" w:space="0" w:color="auto"/>
        <w:left w:val="none" w:sz="0" w:space="0" w:color="auto"/>
        <w:bottom w:val="none" w:sz="0" w:space="0" w:color="auto"/>
        <w:right w:val="none" w:sz="0" w:space="0" w:color="auto"/>
      </w:divBdr>
    </w:div>
    <w:div w:id="1821341163">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0289623">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879464177">
      <w:bodyDiv w:val="1"/>
      <w:marLeft w:val="0"/>
      <w:marRight w:val="0"/>
      <w:marTop w:val="0"/>
      <w:marBottom w:val="0"/>
      <w:divBdr>
        <w:top w:val="none" w:sz="0" w:space="0" w:color="auto"/>
        <w:left w:val="none" w:sz="0" w:space="0" w:color="auto"/>
        <w:bottom w:val="none" w:sz="0" w:space="0" w:color="auto"/>
        <w:right w:val="none" w:sz="0" w:space="0" w:color="auto"/>
      </w:divBdr>
    </w:div>
    <w:div w:id="1879783247">
      <w:bodyDiv w:val="1"/>
      <w:marLeft w:val="0"/>
      <w:marRight w:val="0"/>
      <w:marTop w:val="0"/>
      <w:marBottom w:val="0"/>
      <w:divBdr>
        <w:top w:val="none" w:sz="0" w:space="0" w:color="auto"/>
        <w:left w:val="none" w:sz="0" w:space="0" w:color="auto"/>
        <w:bottom w:val="none" w:sz="0" w:space="0" w:color="auto"/>
        <w:right w:val="none" w:sz="0" w:space="0" w:color="auto"/>
      </w:divBdr>
    </w:div>
    <w:div w:id="1883901557">
      <w:bodyDiv w:val="1"/>
      <w:marLeft w:val="0"/>
      <w:marRight w:val="0"/>
      <w:marTop w:val="0"/>
      <w:marBottom w:val="0"/>
      <w:divBdr>
        <w:top w:val="none" w:sz="0" w:space="0" w:color="auto"/>
        <w:left w:val="none" w:sz="0" w:space="0" w:color="auto"/>
        <w:bottom w:val="none" w:sz="0" w:space="0" w:color="auto"/>
        <w:right w:val="none" w:sz="0" w:space="0" w:color="auto"/>
      </w:divBdr>
    </w:div>
    <w:div w:id="1884247947">
      <w:bodyDiv w:val="1"/>
      <w:marLeft w:val="0"/>
      <w:marRight w:val="0"/>
      <w:marTop w:val="0"/>
      <w:marBottom w:val="0"/>
      <w:divBdr>
        <w:top w:val="none" w:sz="0" w:space="0" w:color="auto"/>
        <w:left w:val="none" w:sz="0" w:space="0" w:color="auto"/>
        <w:bottom w:val="none" w:sz="0" w:space="0" w:color="auto"/>
        <w:right w:val="none" w:sz="0" w:space="0" w:color="auto"/>
      </w:divBdr>
    </w:div>
    <w:div w:id="1923446126">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1962492398">
      <w:bodyDiv w:val="1"/>
      <w:marLeft w:val="0"/>
      <w:marRight w:val="0"/>
      <w:marTop w:val="0"/>
      <w:marBottom w:val="0"/>
      <w:divBdr>
        <w:top w:val="none" w:sz="0" w:space="0" w:color="auto"/>
        <w:left w:val="none" w:sz="0" w:space="0" w:color="auto"/>
        <w:bottom w:val="none" w:sz="0" w:space="0" w:color="auto"/>
        <w:right w:val="none" w:sz="0" w:space="0" w:color="auto"/>
      </w:divBdr>
    </w:div>
    <w:div w:id="1988393164">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09192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ABF42-9641-4854-85B5-67251D53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2391</Words>
  <Characters>13630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Fatemeh Mahdizadeh</cp:lastModifiedBy>
  <cp:revision>3</cp:revision>
  <cp:lastPrinted>2007-05-16T03:26:00Z</cp:lastPrinted>
  <dcterms:created xsi:type="dcterms:W3CDTF">2026-01-24T21:54:00Z</dcterms:created>
  <dcterms:modified xsi:type="dcterms:W3CDTF">2026-01-25T05:56:00Z</dcterms:modified>
</cp:coreProperties>
</file>