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BFC37" w14:textId="306D11D0" w:rsidR="00605BA1" w:rsidRPr="001E10EC" w:rsidRDefault="00A10951" w:rsidP="005E550F">
      <w:pPr>
        <w:spacing w:before="100" w:beforeAutospacing="1" w:after="100" w:afterAutospacing="1" w:line="240" w:lineRule="auto"/>
        <w:jc w:val="center"/>
        <w:outlineLvl w:val="2"/>
        <w:rPr>
          <w:rFonts w:ascii="Times New Roman" w:eastAsia="Times New Roman" w:hAnsi="Times New Roman" w:cs="Times New Roman"/>
          <w:b/>
          <w:bCs/>
          <w:kern w:val="0"/>
          <w:rtl/>
          <w14:ligatures w14:val="none"/>
        </w:rPr>
      </w:pPr>
      <w:r w:rsidRPr="001E10EC">
        <w:rPr>
          <w:rFonts w:ascii="Times New Roman" w:eastAsia="Times New Roman" w:hAnsi="Times New Roman" w:cs="Times New Roman"/>
          <w:b/>
          <w:bCs/>
          <w:kern w:val="0"/>
          <w14:ligatures w14:val="none"/>
        </w:rPr>
        <w:t>Effects of Multimodal Nutritional Supplementation (</w:t>
      </w:r>
      <w:proofErr w:type="spellStart"/>
      <w:r w:rsidRPr="001E10EC">
        <w:rPr>
          <w:rFonts w:ascii="Times New Roman" w:eastAsia="Times New Roman" w:hAnsi="Times New Roman" w:cs="Times New Roman"/>
          <w:b/>
          <w:bCs/>
          <w:kern w:val="0"/>
          <w14:ligatures w14:val="none"/>
        </w:rPr>
        <w:t>VitaGen</w:t>
      </w:r>
      <w:proofErr w:type="spellEnd"/>
      <w:r w:rsidRPr="001E10EC">
        <w:rPr>
          <w:rFonts w:ascii="Times New Roman" w:eastAsia="Times New Roman" w:hAnsi="Times New Roman" w:cs="Times New Roman"/>
          <w:b/>
          <w:bCs/>
          <w:kern w:val="0"/>
          <w14:ligatures w14:val="none"/>
        </w:rPr>
        <w:t>) on Sperm Quality and DNA Integrity in Infertile Men: A Clinical Evaluation</w:t>
      </w:r>
    </w:p>
    <w:p w14:paraId="71E5545B" w14:textId="26F5CE2A" w:rsidR="00605BA1" w:rsidRPr="007B316A" w:rsidRDefault="00291D2B" w:rsidP="00291D2B">
      <w:pPr>
        <w:spacing w:before="100" w:beforeAutospacing="1" w:after="100" w:afterAutospacing="1" w:line="240" w:lineRule="auto"/>
        <w:jc w:val="center"/>
        <w:outlineLvl w:val="2"/>
        <w:rPr>
          <w:rFonts w:ascii="Times New Roman" w:eastAsia="Times New Roman" w:hAnsi="Times New Roman" w:cs="Times New Roman"/>
          <w:b/>
          <w:bCs/>
          <w:kern w:val="0"/>
          <w:sz w:val="20"/>
          <w:szCs w:val="20"/>
          <w14:ligatures w14:val="none"/>
        </w:rPr>
      </w:pPr>
      <w:proofErr w:type="spellStart"/>
      <w:r w:rsidRPr="007B316A">
        <w:rPr>
          <w:rFonts w:ascii="Times New Roman" w:eastAsia="Times New Roman" w:hAnsi="Times New Roman" w:cs="Times New Roman"/>
          <w:b/>
          <w:bCs/>
          <w:kern w:val="0"/>
          <w:sz w:val="20"/>
          <w:szCs w:val="20"/>
          <w14:ligatures w14:val="none"/>
        </w:rPr>
        <w:t>Sadigheh</w:t>
      </w:r>
      <w:proofErr w:type="spellEnd"/>
      <w:r w:rsidRPr="007B316A">
        <w:rPr>
          <w:rFonts w:ascii="Times New Roman" w:eastAsia="Times New Roman" w:hAnsi="Times New Roman" w:cs="Times New Roman"/>
          <w:b/>
          <w:bCs/>
          <w:kern w:val="0"/>
          <w:sz w:val="20"/>
          <w:szCs w:val="20"/>
          <w14:ligatures w14:val="none"/>
        </w:rPr>
        <w:t xml:space="preserve"> </w:t>
      </w:r>
      <w:proofErr w:type="spellStart"/>
      <w:r w:rsidRPr="007B316A">
        <w:rPr>
          <w:rFonts w:ascii="Times New Roman" w:eastAsia="Times New Roman" w:hAnsi="Times New Roman" w:cs="Times New Roman"/>
          <w:b/>
          <w:bCs/>
          <w:kern w:val="0"/>
          <w:sz w:val="20"/>
          <w:szCs w:val="20"/>
          <w14:ligatures w14:val="none"/>
        </w:rPr>
        <w:t>Bahmaie</w:t>
      </w:r>
      <w:proofErr w:type="spellEnd"/>
      <w:r w:rsidRPr="007B316A">
        <w:rPr>
          <w:rFonts w:ascii="Times New Roman" w:eastAsia="Times New Roman" w:hAnsi="Times New Roman" w:cs="Times New Roman"/>
          <w:b/>
          <w:bCs/>
          <w:kern w:val="0"/>
          <w:sz w:val="20"/>
          <w:szCs w:val="20"/>
          <w14:ligatures w14:val="none"/>
        </w:rPr>
        <w:t xml:space="preserve"> </w:t>
      </w:r>
      <w:proofErr w:type="spellStart"/>
      <w:r w:rsidRPr="007B316A">
        <w:rPr>
          <w:rFonts w:ascii="Times New Roman" w:eastAsia="Times New Roman" w:hAnsi="Times New Roman" w:cs="Times New Roman"/>
          <w:b/>
          <w:bCs/>
          <w:kern w:val="0"/>
          <w:sz w:val="20"/>
          <w:szCs w:val="20"/>
          <w14:ligatures w14:val="none"/>
        </w:rPr>
        <w:t>kamaie</w:t>
      </w:r>
      <w:proofErr w:type="spellEnd"/>
    </w:p>
    <w:p w14:paraId="0A868089" w14:textId="71047C6A" w:rsidR="00291D2B" w:rsidRPr="007B316A" w:rsidRDefault="00291D2B" w:rsidP="00291D2B">
      <w:pPr>
        <w:spacing w:before="100" w:beforeAutospacing="1" w:after="100" w:afterAutospacing="1" w:line="240" w:lineRule="auto"/>
        <w:jc w:val="center"/>
        <w:outlineLvl w:val="2"/>
        <w:rPr>
          <w:rFonts w:ascii="Times New Roman" w:eastAsia="Times New Roman" w:hAnsi="Times New Roman" w:cs="Times New Roman"/>
          <w:b/>
          <w:bCs/>
          <w:kern w:val="0"/>
          <w:sz w:val="16"/>
          <w:szCs w:val="16"/>
          <w:rtl/>
          <w14:ligatures w14:val="none"/>
        </w:rPr>
      </w:pPr>
      <w:proofErr w:type="spellStart"/>
      <w:proofErr w:type="gramStart"/>
      <w:r w:rsidRPr="007B316A">
        <w:rPr>
          <w:rFonts w:ascii="Times New Roman" w:eastAsia="Times New Roman" w:hAnsi="Times New Roman" w:cs="Times New Roman"/>
          <w:b/>
          <w:bCs/>
          <w:kern w:val="0"/>
          <w:sz w:val="16"/>
          <w:szCs w:val="16"/>
          <w14:ligatures w14:val="none"/>
        </w:rPr>
        <w:t>Ph.D</w:t>
      </w:r>
      <w:proofErr w:type="spellEnd"/>
      <w:proofErr w:type="gramEnd"/>
      <w:r w:rsidRPr="007B316A">
        <w:rPr>
          <w:rFonts w:ascii="Times New Roman" w:eastAsia="Times New Roman" w:hAnsi="Times New Roman" w:cs="Times New Roman"/>
          <w:b/>
          <w:bCs/>
          <w:kern w:val="0"/>
          <w:sz w:val="16"/>
          <w:szCs w:val="16"/>
          <w14:ligatures w14:val="none"/>
        </w:rPr>
        <w:t xml:space="preserve"> Student of TITU university</w:t>
      </w:r>
    </w:p>
    <w:p w14:paraId="509E805C" w14:textId="44FD1A46" w:rsidR="00605BA1" w:rsidRDefault="00A10951" w:rsidP="00A241F7">
      <w:pPr>
        <w:spacing w:after="0" w:line="240" w:lineRule="auto"/>
        <w:jc w:val="both"/>
        <w:outlineLvl w:val="2"/>
        <w:rPr>
          <w:rFonts w:ascii="Times New Roman" w:eastAsia="Times New Roman" w:hAnsi="Times New Roman" w:cs="Times New Roman"/>
          <w:b/>
          <w:bCs/>
          <w:kern w:val="0"/>
          <w:sz w:val="22"/>
          <w:szCs w:val="22"/>
          <w:rtl/>
          <w14:ligatures w14:val="none"/>
        </w:rPr>
      </w:pPr>
      <w:r w:rsidRPr="001E10EC">
        <w:rPr>
          <w:rFonts w:ascii="Times New Roman" w:eastAsia="Times New Roman" w:hAnsi="Times New Roman" w:cs="Times New Roman"/>
          <w:b/>
          <w:bCs/>
          <w:kern w:val="0"/>
          <w:sz w:val="22"/>
          <w:szCs w:val="22"/>
          <w14:ligatures w14:val="none"/>
        </w:rPr>
        <w:t>Abstract</w:t>
      </w:r>
    </w:p>
    <w:p w14:paraId="77AEECD9" w14:textId="77777777" w:rsidR="00A241F7" w:rsidRPr="001E10EC" w:rsidRDefault="00A241F7" w:rsidP="00A241F7">
      <w:pPr>
        <w:spacing w:after="0" w:line="240" w:lineRule="auto"/>
        <w:jc w:val="both"/>
        <w:outlineLvl w:val="2"/>
        <w:rPr>
          <w:rFonts w:ascii="Times New Roman" w:eastAsia="Times New Roman" w:hAnsi="Times New Roman" w:cs="Times New Roman"/>
          <w:b/>
          <w:bCs/>
          <w:kern w:val="0"/>
          <w:sz w:val="22"/>
          <w:szCs w:val="22"/>
          <w14:ligatures w14:val="none"/>
        </w:rPr>
      </w:pPr>
    </w:p>
    <w:p w14:paraId="437858AD" w14:textId="77777777" w:rsidR="000A62B6" w:rsidRPr="00DF34CE" w:rsidRDefault="000A62B6" w:rsidP="000A62B6">
      <w:pPr>
        <w:spacing w:after="0" w:line="240" w:lineRule="auto"/>
        <w:jc w:val="both"/>
        <w:outlineLvl w:val="2"/>
        <w:rPr>
          <w:rFonts w:ascii="Times New Roman" w:eastAsia="Times New Roman" w:hAnsi="Times New Roman" w:cs="Times New Roman"/>
          <w:b/>
          <w:bCs/>
          <w:kern w:val="0"/>
          <w:sz w:val="28"/>
          <w:szCs w:val="28"/>
          <w14:ligatures w14:val="none"/>
        </w:rPr>
      </w:pPr>
      <w:r w:rsidRPr="00AC7B1A">
        <w:rPr>
          <w:rStyle w:val="Strong"/>
          <w:rFonts w:asciiTheme="majorBidi" w:hAnsiTheme="majorBidi" w:cstheme="majorBidi"/>
          <w:sz w:val="28"/>
          <w:szCs w:val="28"/>
        </w:rPr>
        <w:t>Background:</w:t>
      </w:r>
      <w:r w:rsidRPr="00AC7B1A">
        <w:rPr>
          <w:rFonts w:asciiTheme="majorBidi" w:hAnsiTheme="majorBidi" w:cstheme="majorBidi"/>
          <w:sz w:val="28"/>
          <w:szCs w:val="28"/>
        </w:rPr>
        <w:t xml:space="preserve"> Male infertility is a global concern, often linked to poor sperm quality and oxidative stress. Nutritional supplementation has been suggested as a potential supportive therapy.</w:t>
      </w:r>
      <w:r w:rsidRPr="00AC7B1A">
        <w:rPr>
          <w:rFonts w:asciiTheme="majorBidi" w:hAnsiTheme="majorBidi" w:cstheme="majorBidi"/>
          <w:sz w:val="28"/>
          <w:szCs w:val="28"/>
        </w:rPr>
        <w:br/>
      </w:r>
      <w:r w:rsidRPr="00AC7B1A">
        <w:rPr>
          <w:rStyle w:val="Strong"/>
          <w:rFonts w:asciiTheme="majorBidi" w:hAnsiTheme="majorBidi" w:cstheme="majorBidi"/>
          <w:sz w:val="28"/>
          <w:szCs w:val="28"/>
        </w:rPr>
        <w:t>Objective:</w:t>
      </w:r>
      <w:r w:rsidRPr="00AC7B1A">
        <w:rPr>
          <w:rFonts w:asciiTheme="majorBidi" w:hAnsiTheme="majorBidi" w:cstheme="majorBidi"/>
          <w:sz w:val="28"/>
          <w:szCs w:val="28"/>
        </w:rPr>
        <w:t xml:space="preserve"> To evaluate the effects of multimodal supplementation on seminal parameters in infertile men.</w:t>
      </w:r>
      <w:r w:rsidRPr="00AC7B1A">
        <w:rPr>
          <w:rFonts w:asciiTheme="majorBidi" w:hAnsiTheme="majorBidi" w:cstheme="majorBidi"/>
          <w:sz w:val="28"/>
          <w:szCs w:val="28"/>
        </w:rPr>
        <w:br/>
      </w:r>
      <w:r w:rsidRPr="00AC7B1A">
        <w:rPr>
          <w:rStyle w:val="Strong"/>
          <w:rFonts w:asciiTheme="majorBidi" w:hAnsiTheme="majorBidi" w:cstheme="majorBidi"/>
          <w:sz w:val="28"/>
          <w:szCs w:val="28"/>
        </w:rPr>
        <w:t>Methods:</w:t>
      </w:r>
      <w:r w:rsidRPr="00AC7B1A">
        <w:rPr>
          <w:rFonts w:asciiTheme="majorBidi" w:hAnsiTheme="majorBidi" w:cstheme="majorBidi"/>
          <w:sz w:val="28"/>
          <w:szCs w:val="28"/>
        </w:rPr>
        <w:t xml:space="preserve"> One hundred infertile men underwent semen analysis according to WHO guidelines (6th edition) before and after supplementation. Parameters included semen volume, pH, sperm concentration, motility, morphology, and round cell count. Data are expressed as mean ± SE.</w:t>
      </w:r>
      <w:r w:rsidRPr="00AC7B1A">
        <w:rPr>
          <w:rFonts w:asciiTheme="majorBidi" w:hAnsiTheme="majorBidi" w:cstheme="majorBidi"/>
          <w:sz w:val="28"/>
          <w:szCs w:val="28"/>
        </w:rPr>
        <w:br/>
      </w:r>
      <w:r w:rsidRPr="00AC7B1A">
        <w:rPr>
          <w:rStyle w:val="Strong"/>
          <w:rFonts w:asciiTheme="majorBidi" w:hAnsiTheme="majorBidi" w:cstheme="majorBidi"/>
          <w:sz w:val="28"/>
          <w:szCs w:val="28"/>
        </w:rPr>
        <w:t>Results:</w:t>
      </w:r>
      <w:r w:rsidRPr="00AC7B1A">
        <w:rPr>
          <w:rFonts w:asciiTheme="majorBidi" w:hAnsiTheme="majorBidi" w:cstheme="majorBidi"/>
          <w:sz w:val="28"/>
          <w:szCs w:val="28"/>
        </w:rPr>
        <w:t xml:space="preserve"> Supplementation significantly improved all measured parameters. Semen volume increased from 2.46 ± 0.12 to 3.20 ± 0.15 ml, pH from 7.20 ± 0.35 to 7.37 ± 0.36, and sperm concentration from 13.88 ± 0.89 to 42.86 ± 1.35 M/ml. Total motility rose from 30.64 ± 1.17% to 62.31 ± 0.69%, progressive motility from 17.73 ± 0.84% to 42.95 ± 0.68%, and normal morphology from 2.50 ± 0.12% to 5.33 ± 0.11%. Round cell counts decreased from 1.33 ± 0.07 to 0.49 ± 0.03 M/ml.</w:t>
      </w:r>
      <w:r w:rsidRPr="00AC7B1A">
        <w:rPr>
          <w:rFonts w:asciiTheme="majorBidi" w:hAnsiTheme="majorBidi" w:cstheme="majorBidi"/>
          <w:sz w:val="28"/>
          <w:szCs w:val="28"/>
        </w:rPr>
        <w:br/>
      </w:r>
      <w:r w:rsidRPr="00AC7B1A">
        <w:rPr>
          <w:rStyle w:val="Strong"/>
          <w:rFonts w:asciiTheme="majorBidi" w:hAnsiTheme="majorBidi" w:cstheme="majorBidi"/>
          <w:sz w:val="28"/>
          <w:szCs w:val="28"/>
        </w:rPr>
        <w:t>Conclusion:</w:t>
      </w:r>
      <w:r w:rsidRPr="00AC7B1A">
        <w:rPr>
          <w:rFonts w:asciiTheme="majorBidi" w:hAnsiTheme="majorBidi" w:cstheme="majorBidi"/>
          <w:sz w:val="28"/>
          <w:szCs w:val="28"/>
        </w:rPr>
        <w:t xml:space="preserve"> Multimodal supplementation markedly improves semen quality, including volume, motility, morphology, and concentration, highlighting its potential as an adjunctive strategy for enhancing male reproductive health</w:t>
      </w:r>
      <w:r>
        <w:rPr>
          <w:rFonts w:asciiTheme="majorBidi" w:hAnsiTheme="majorBidi" w:cstheme="majorBidi"/>
          <w:sz w:val="28"/>
          <w:szCs w:val="28"/>
        </w:rPr>
        <w:t>.</w:t>
      </w:r>
    </w:p>
    <w:p w14:paraId="0BD93B9E" w14:textId="77777777" w:rsidR="00A10951" w:rsidRPr="001E10EC" w:rsidRDefault="00A10951" w:rsidP="003E66C5">
      <w:pPr>
        <w:spacing w:before="100" w:beforeAutospacing="1" w:after="100" w:afterAutospacing="1" w:line="240" w:lineRule="auto"/>
        <w:jc w:val="both"/>
        <w:outlineLvl w:val="2"/>
        <w:rPr>
          <w:rFonts w:ascii="Times New Roman" w:eastAsia="Times New Roman" w:hAnsi="Times New Roman" w:cs="Times New Roman"/>
          <w:b/>
          <w:bCs/>
          <w:kern w:val="0"/>
          <w:sz w:val="22"/>
          <w:szCs w:val="22"/>
          <w14:ligatures w14:val="none"/>
        </w:rPr>
      </w:pPr>
    </w:p>
    <w:p w14:paraId="44A43F6C" w14:textId="3B6665F0" w:rsidR="00A10951" w:rsidRPr="001E10EC" w:rsidRDefault="00A10951" w:rsidP="00A10951">
      <w:pPr>
        <w:pStyle w:val="NormalWeb"/>
        <w:rPr>
          <w:sz w:val="20"/>
          <w:szCs w:val="20"/>
        </w:rPr>
      </w:pPr>
      <w:r w:rsidRPr="001E10EC">
        <w:rPr>
          <w:b/>
          <w:bCs/>
          <w:sz w:val="20"/>
          <w:szCs w:val="20"/>
        </w:rPr>
        <w:t>Keywords:</w:t>
      </w:r>
      <w:r w:rsidRPr="001E10EC">
        <w:rPr>
          <w:sz w:val="20"/>
          <w:szCs w:val="20"/>
        </w:rPr>
        <w:t xml:space="preserve"> Male infertility, Sperm quality, Nutritional supplementation, Oxidative stress, Probiotics.</w:t>
      </w:r>
    </w:p>
    <w:p w14:paraId="12B1FFCE" w14:textId="6C21F6C9" w:rsidR="00A10951" w:rsidRPr="001E10EC" w:rsidRDefault="00A10951" w:rsidP="003E66C5">
      <w:pPr>
        <w:spacing w:before="100" w:beforeAutospacing="1" w:after="100" w:afterAutospacing="1" w:line="240" w:lineRule="auto"/>
        <w:jc w:val="both"/>
        <w:outlineLvl w:val="2"/>
        <w:rPr>
          <w:rFonts w:ascii="Times New Roman" w:eastAsia="Times New Roman" w:hAnsi="Times New Roman" w:cs="Times New Roman"/>
          <w:b/>
          <w:bCs/>
          <w:kern w:val="0"/>
          <w:sz w:val="22"/>
          <w:szCs w:val="22"/>
          <w:rtl/>
          <w:lang w:bidi="fa-IR"/>
          <w14:ligatures w14:val="none"/>
        </w:rPr>
      </w:pPr>
    </w:p>
    <w:p w14:paraId="3C440C58" w14:textId="77777777" w:rsidR="00605BA1" w:rsidRPr="001E10EC" w:rsidRDefault="00605BA1" w:rsidP="003E66C5">
      <w:pPr>
        <w:spacing w:before="100" w:beforeAutospacing="1" w:after="100" w:afterAutospacing="1" w:line="240" w:lineRule="auto"/>
        <w:jc w:val="both"/>
        <w:outlineLvl w:val="2"/>
        <w:rPr>
          <w:rFonts w:ascii="Times New Roman" w:eastAsia="Times New Roman" w:hAnsi="Times New Roman" w:cs="Times New Roman"/>
          <w:b/>
          <w:bCs/>
          <w:kern w:val="0"/>
          <w:sz w:val="22"/>
          <w:szCs w:val="22"/>
          <w:rtl/>
          <w14:ligatures w14:val="none"/>
        </w:rPr>
      </w:pPr>
    </w:p>
    <w:p w14:paraId="5282D068" w14:textId="77777777" w:rsidR="00605BA1" w:rsidRPr="001E10EC" w:rsidRDefault="00605BA1" w:rsidP="003E66C5">
      <w:pPr>
        <w:spacing w:before="100" w:beforeAutospacing="1" w:after="100" w:afterAutospacing="1" w:line="240" w:lineRule="auto"/>
        <w:jc w:val="both"/>
        <w:outlineLvl w:val="2"/>
        <w:rPr>
          <w:rFonts w:ascii="Times New Roman" w:eastAsia="Times New Roman" w:hAnsi="Times New Roman" w:cs="Times New Roman"/>
          <w:b/>
          <w:bCs/>
          <w:kern w:val="0"/>
          <w:sz w:val="22"/>
          <w:szCs w:val="22"/>
          <w:rtl/>
          <w14:ligatures w14:val="none"/>
        </w:rPr>
      </w:pPr>
    </w:p>
    <w:p w14:paraId="39AB4343" w14:textId="77777777" w:rsidR="00605BA1" w:rsidRPr="001E10EC" w:rsidRDefault="00605BA1" w:rsidP="003E66C5">
      <w:pPr>
        <w:spacing w:before="100" w:beforeAutospacing="1" w:after="100" w:afterAutospacing="1" w:line="240" w:lineRule="auto"/>
        <w:jc w:val="both"/>
        <w:outlineLvl w:val="2"/>
        <w:rPr>
          <w:rFonts w:ascii="Times New Roman" w:eastAsia="Times New Roman" w:hAnsi="Times New Roman" w:cs="Times New Roman"/>
          <w:b/>
          <w:bCs/>
          <w:kern w:val="0"/>
          <w:sz w:val="22"/>
          <w:szCs w:val="22"/>
          <w:rtl/>
          <w14:ligatures w14:val="none"/>
        </w:rPr>
      </w:pPr>
    </w:p>
    <w:p w14:paraId="05D46198" w14:textId="7789FEB9" w:rsidR="00605BA1" w:rsidRPr="001E10EC" w:rsidRDefault="00605BA1" w:rsidP="003E66C5">
      <w:pPr>
        <w:spacing w:before="100" w:beforeAutospacing="1" w:after="100" w:afterAutospacing="1" w:line="240" w:lineRule="auto"/>
        <w:jc w:val="both"/>
        <w:outlineLvl w:val="2"/>
        <w:rPr>
          <w:rFonts w:ascii="Times New Roman" w:eastAsia="Times New Roman" w:hAnsi="Times New Roman" w:cs="Times New Roman"/>
          <w:b/>
          <w:bCs/>
          <w:kern w:val="0"/>
          <w:sz w:val="22"/>
          <w:szCs w:val="22"/>
          <w:rtl/>
          <w14:ligatures w14:val="none"/>
        </w:rPr>
      </w:pPr>
    </w:p>
    <w:p w14:paraId="79AAD3FD" w14:textId="77777777" w:rsidR="00605BA1" w:rsidRPr="001E10EC" w:rsidRDefault="00605BA1" w:rsidP="003E66C5">
      <w:pPr>
        <w:spacing w:before="100" w:beforeAutospacing="1" w:after="100" w:afterAutospacing="1" w:line="240" w:lineRule="auto"/>
        <w:jc w:val="both"/>
        <w:outlineLvl w:val="2"/>
        <w:rPr>
          <w:rFonts w:ascii="Times New Roman" w:eastAsia="Times New Roman" w:hAnsi="Times New Roman" w:cs="Times New Roman"/>
          <w:b/>
          <w:bCs/>
          <w:kern w:val="0"/>
          <w:sz w:val="22"/>
          <w:szCs w:val="22"/>
          <w:rtl/>
          <w14:ligatures w14:val="none"/>
        </w:rPr>
      </w:pPr>
    </w:p>
    <w:p w14:paraId="12BB9B24" w14:textId="29939B9B" w:rsidR="000B2E0A" w:rsidRPr="001E10EC" w:rsidRDefault="000B2E0A" w:rsidP="003E66C5">
      <w:pPr>
        <w:spacing w:before="100" w:beforeAutospacing="1" w:after="100" w:afterAutospacing="1" w:line="240" w:lineRule="auto"/>
        <w:jc w:val="both"/>
        <w:outlineLvl w:val="2"/>
        <w:rPr>
          <w:rFonts w:ascii="Times New Roman" w:eastAsia="Times New Roman" w:hAnsi="Times New Roman" w:cs="Times New Roman"/>
          <w:b/>
          <w:bCs/>
          <w:kern w:val="0"/>
          <w:sz w:val="22"/>
          <w:szCs w:val="22"/>
          <w14:ligatures w14:val="none"/>
        </w:rPr>
      </w:pPr>
      <w:r w:rsidRPr="001E10EC">
        <w:rPr>
          <w:rFonts w:ascii="Times New Roman" w:eastAsia="Times New Roman" w:hAnsi="Times New Roman" w:cs="Times New Roman"/>
          <w:b/>
          <w:bCs/>
          <w:kern w:val="0"/>
          <w:sz w:val="22"/>
          <w:szCs w:val="22"/>
          <w14:ligatures w14:val="none"/>
        </w:rPr>
        <w:t>Introduction</w:t>
      </w:r>
    </w:p>
    <w:p w14:paraId="455CF8F8" w14:textId="6C291647" w:rsidR="006A2A6A" w:rsidRPr="001E10EC" w:rsidRDefault="006A2A6A" w:rsidP="0062777B">
      <w:pPr>
        <w:pStyle w:val="NormalWeb"/>
        <w:jc w:val="both"/>
        <w:rPr>
          <w:rFonts w:asciiTheme="majorBidi" w:hAnsiTheme="majorBidi" w:cstheme="majorBidi"/>
          <w:sz w:val="22"/>
          <w:szCs w:val="22"/>
          <w:lang w:bidi="fa-IR"/>
        </w:rPr>
      </w:pPr>
      <w:r w:rsidRPr="001E10EC">
        <w:rPr>
          <w:rFonts w:asciiTheme="majorBidi" w:hAnsiTheme="majorBidi" w:cstheme="majorBidi"/>
          <w:sz w:val="22"/>
          <w:szCs w:val="22"/>
        </w:rPr>
        <w:t xml:space="preserve">Male infertility remains a major global reproductive health concern, contributing to nearly half of all infertility cases and exerting significant medical, psychological, and socioeconomic burdens. Impairments in sperm concentration, motility, morphology, and DNA integrity constitute the primary determinants of male subfertility, and are frequently associated with oxidative stress, micronutrient insufficiency, endocrine disruption, systemic inflammation, and lifestyle-related factors. Increasing evidence indicates that the testicular environment is highly vulnerable to redox imbalance, and that nutritional interventions targeting oxidative stress and metabolic dysregulation may improve </w:t>
      </w:r>
      <w:proofErr w:type="spellStart"/>
      <w:r w:rsidRPr="001E10EC">
        <w:rPr>
          <w:rFonts w:asciiTheme="majorBidi" w:hAnsiTheme="majorBidi" w:cstheme="majorBidi"/>
          <w:sz w:val="22"/>
          <w:szCs w:val="22"/>
        </w:rPr>
        <w:t>spermatogenic</w:t>
      </w:r>
      <w:proofErr w:type="spellEnd"/>
      <w:r w:rsidRPr="001E10EC">
        <w:rPr>
          <w:rFonts w:asciiTheme="majorBidi" w:hAnsiTheme="majorBidi" w:cstheme="majorBidi"/>
          <w:sz w:val="22"/>
          <w:szCs w:val="22"/>
        </w:rPr>
        <w:t xml:space="preserve"> </w:t>
      </w:r>
      <w:r w:rsidR="00146977" w:rsidRPr="001E10EC">
        <w:rPr>
          <w:rFonts w:asciiTheme="majorBidi" w:hAnsiTheme="majorBidi" w:cstheme="majorBidi"/>
          <w:sz w:val="22"/>
          <w:szCs w:val="22"/>
        </w:rPr>
        <w:t>function (</w:t>
      </w:r>
      <w:proofErr w:type="spellStart"/>
      <w:r w:rsidR="00146977" w:rsidRPr="001E10EC">
        <w:rPr>
          <w:sz w:val="22"/>
          <w:szCs w:val="22"/>
        </w:rPr>
        <w:t>Noegroho</w:t>
      </w:r>
      <w:proofErr w:type="spellEnd"/>
      <w:r w:rsidR="00146977" w:rsidRPr="001E10EC">
        <w:rPr>
          <w:sz w:val="22"/>
          <w:szCs w:val="22"/>
        </w:rPr>
        <w:t xml:space="preserve"> et al., 2022: Kaltsas, 2023: Pavuluri et al., 2024: Saleh et al., 2024)</w:t>
      </w:r>
    </w:p>
    <w:p w14:paraId="1AC8212E" w14:textId="2EF3B9C4" w:rsidR="006A2A6A" w:rsidRPr="001E10EC" w:rsidRDefault="006A2A6A" w:rsidP="0062777B">
      <w:pPr>
        <w:pStyle w:val="NormalWeb"/>
        <w:jc w:val="both"/>
        <w:rPr>
          <w:rFonts w:asciiTheme="majorBidi" w:hAnsiTheme="majorBidi" w:cstheme="majorBidi"/>
          <w:sz w:val="22"/>
          <w:szCs w:val="22"/>
        </w:rPr>
      </w:pPr>
      <w:r w:rsidRPr="001E10EC">
        <w:rPr>
          <w:rFonts w:asciiTheme="majorBidi" w:hAnsiTheme="majorBidi" w:cstheme="majorBidi"/>
          <w:sz w:val="22"/>
          <w:szCs w:val="22"/>
        </w:rPr>
        <w:t xml:space="preserve">Nutritional supplementation has therefore emerged as a promising adjunctive strategy for enhancing male reproductive potential. </w:t>
      </w:r>
      <w:proofErr w:type="spellStart"/>
      <w:r w:rsidRPr="001E10EC">
        <w:rPr>
          <w:rStyle w:val="Strong"/>
          <w:rFonts w:asciiTheme="majorBidi" w:eastAsiaTheme="majorEastAsia" w:hAnsiTheme="majorBidi" w:cstheme="majorBidi"/>
          <w:b w:val="0"/>
          <w:bCs w:val="0"/>
          <w:sz w:val="22"/>
          <w:szCs w:val="22"/>
        </w:rPr>
        <w:t>VitaGen</w:t>
      </w:r>
      <w:proofErr w:type="spellEnd"/>
      <w:r w:rsidRPr="001E10EC">
        <w:rPr>
          <w:rFonts w:asciiTheme="majorBidi" w:hAnsiTheme="majorBidi" w:cstheme="majorBidi"/>
          <w:sz w:val="22"/>
          <w:szCs w:val="22"/>
        </w:rPr>
        <w:t>, a next-generation multimodal supplement, is specifically formulated to support sperm development and protect against oxidative and metabolic disturbances. It integrates 25 essential micronutrients—including vitamins A, C, D, E, and B-complex, as well as zinc, selenium, magnesium, calcium, iodine, and iron—together with potent antioxidants such as astaxanthin, lutein, and lycopene. These micronutrients collectively play pivotal roles in maintaining mitochondrial activity, regulating redox homeostasis, supporting DNA synthesis and repair, and sustaining the hormonal and cellular processes underlying spermatogenesis</w:t>
      </w:r>
      <w:r w:rsidR="00146977" w:rsidRPr="001E10EC">
        <w:rPr>
          <w:rFonts w:asciiTheme="majorBidi" w:hAnsiTheme="majorBidi" w:cstheme="majorBidi"/>
          <w:sz w:val="22"/>
          <w:szCs w:val="22"/>
        </w:rPr>
        <w:t xml:space="preserve"> (</w:t>
      </w:r>
      <w:r w:rsidR="00146977" w:rsidRPr="001E10EC">
        <w:rPr>
          <w:sz w:val="22"/>
          <w:szCs w:val="22"/>
        </w:rPr>
        <w:t xml:space="preserve">Agarwal et al., 2023: </w:t>
      </w:r>
      <w:proofErr w:type="spellStart"/>
      <w:r w:rsidR="00146977" w:rsidRPr="001E10EC">
        <w:rPr>
          <w:sz w:val="22"/>
          <w:szCs w:val="22"/>
        </w:rPr>
        <w:t>Safarinejad</w:t>
      </w:r>
      <w:proofErr w:type="spellEnd"/>
      <w:r w:rsidR="00146977" w:rsidRPr="001E10EC">
        <w:rPr>
          <w:sz w:val="22"/>
          <w:szCs w:val="22"/>
        </w:rPr>
        <w:t xml:space="preserve"> et al., 2023: Zanetti et al., 2023: Showell et al., 2018).</w:t>
      </w:r>
    </w:p>
    <w:p w14:paraId="0AADA872" w14:textId="2A019E5A" w:rsidR="006A2A6A" w:rsidRPr="001E10EC" w:rsidRDefault="006A2A6A" w:rsidP="0062777B">
      <w:pPr>
        <w:pStyle w:val="NormalWeb"/>
        <w:jc w:val="both"/>
        <w:rPr>
          <w:rFonts w:asciiTheme="majorBidi" w:hAnsiTheme="majorBidi" w:cstheme="majorBidi"/>
          <w:sz w:val="22"/>
          <w:szCs w:val="22"/>
        </w:rPr>
      </w:pPr>
      <w:r w:rsidRPr="001E10EC">
        <w:rPr>
          <w:rFonts w:asciiTheme="majorBidi" w:hAnsiTheme="majorBidi" w:cstheme="majorBidi"/>
          <w:sz w:val="22"/>
          <w:szCs w:val="22"/>
        </w:rPr>
        <w:t xml:space="preserve">In addition to micronutrients, </w:t>
      </w:r>
      <w:proofErr w:type="spellStart"/>
      <w:r w:rsidRPr="001E10EC">
        <w:rPr>
          <w:rFonts w:asciiTheme="majorBidi" w:hAnsiTheme="majorBidi" w:cstheme="majorBidi"/>
          <w:sz w:val="22"/>
          <w:szCs w:val="22"/>
        </w:rPr>
        <w:t>VitaGen</w:t>
      </w:r>
      <w:proofErr w:type="spellEnd"/>
      <w:r w:rsidRPr="001E10EC">
        <w:rPr>
          <w:rFonts w:asciiTheme="majorBidi" w:hAnsiTheme="majorBidi" w:cstheme="majorBidi"/>
          <w:sz w:val="22"/>
          <w:szCs w:val="22"/>
        </w:rPr>
        <w:t xml:space="preserve"> incorporates four bioactive adaptogens—Korean ginseng, Ashwagandha extract, Rhodiola rosea, and royal jelly—compounds shown to modulate stress responses, enhance endocrine stability, and improve metabolic resilience. Clinical studies evaluating supplements with comparable compositions have demonstrated improvements in sperm concentration, progressive motility, normal morphology, and reductions in round cells and sperm DNA fragmentation, particularly among men with oxidative stress or nutritional deficiencies</w:t>
      </w:r>
      <w:r w:rsidR="00647B40" w:rsidRPr="001E10EC">
        <w:rPr>
          <w:rFonts w:asciiTheme="majorBidi" w:hAnsiTheme="majorBidi" w:cstheme="majorBidi"/>
          <w:sz w:val="22"/>
          <w:szCs w:val="22"/>
        </w:rPr>
        <w:t xml:space="preserve"> (</w:t>
      </w:r>
      <w:proofErr w:type="spellStart"/>
      <w:r w:rsidR="00647B40" w:rsidRPr="001E10EC">
        <w:rPr>
          <w:sz w:val="22"/>
          <w:szCs w:val="22"/>
        </w:rPr>
        <w:t>Ambiye</w:t>
      </w:r>
      <w:proofErr w:type="spellEnd"/>
      <w:r w:rsidR="00647B40" w:rsidRPr="001E10EC">
        <w:rPr>
          <w:sz w:val="22"/>
          <w:szCs w:val="22"/>
        </w:rPr>
        <w:t xml:space="preserve"> et al., 2013: Ahmad et al., 2018: Lee et al., 2020)</w:t>
      </w:r>
    </w:p>
    <w:p w14:paraId="4323E2DF" w14:textId="27BE1B18" w:rsidR="006A2A6A" w:rsidRPr="001E10EC" w:rsidRDefault="006A2A6A" w:rsidP="0062777B">
      <w:pPr>
        <w:pStyle w:val="NormalWeb"/>
        <w:jc w:val="both"/>
        <w:rPr>
          <w:rFonts w:asciiTheme="majorBidi" w:hAnsiTheme="majorBidi" w:cstheme="majorBidi"/>
          <w:sz w:val="22"/>
          <w:szCs w:val="22"/>
          <w:lang w:bidi="fa-IR"/>
        </w:rPr>
      </w:pPr>
      <w:r w:rsidRPr="001E10EC">
        <w:rPr>
          <w:rFonts w:asciiTheme="majorBidi" w:hAnsiTheme="majorBidi" w:cstheme="majorBidi"/>
          <w:sz w:val="22"/>
          <w:szCs w:val="22"/>
        </w:rPr>
        <w:t xml:space="preserve">Emerging research further highlights the relevance of the gut–testis axis, suggesting that probiotic supplementation may contribute to improved sperm quality through modulation of gut microbiota, enhancement of nutrient absorption, reduction of systemic inflammation, and attenuation of oxidative stress. Probiotic strains such as </w:t>
      </w:r>
      <w:r w:rsidRPr="001E10EC">
        <w:rPr>
          <w:rStyle w:val="Emphasis"/>
          <w:rFonts w:asciiTheme="majorBidi" w:eastAsiaTheme="majorEastAsia" w:hAnsiTheme="majorBidi" w:cstheme="majorBidi"/>
          <w:sz w:val="22"/>
          <w:szCs w:val="22"/>
        </w:rPr>
        <w:t>Lactobacillus acidophilus</w:t>
      </w:r>
      <w:r w:rsidRPr="001E10EC">
        <w:rPr>
          <w:rFonts w:asciiTheme="majorBidi" w:hAnsiTheme="majorBidi" w:cstheme="majorBidi"/>
          <w:sz w:val="22"/>
          <w:szCs w:val="22"/>
        </w:rPr>
        <w:t xml:space="preserve"> and </w:t>
      </w:r>
      <w:r w:rsidRPr="001E10EC">
        <w:rPr>
          <w:rStyle w:val="Emphasis"/>
          <w:rFonts w:asciiTheme="majorBidi" w:eastAsiaTheme="majorEastAsia" w:hAnsiTheme="majorBidi" w:cstheme="majorBidi"/>
          <w:sz w:val="22"/>
          <w:szCs w:val="22"/>
        </w:rPr>
        <w:t xml:space="preserve">Lactobacillus </w:t>
      </w:r>
      <w:proofErr w:type="spellStart"/>
      <w:r w:rsidRPr="001E10EC">
        <w:rPr>
          <w:rStyle w:val="Emphasis"/>
          <w:rFonts w:asciiTheme="majorBidi" w:eastAsiaTheme="majorEastAsia" w:hAnsiTheme="majorBidi" w:cstheme="majorBidi"/>
          <w:sz w:val="22"/>
          <w:szCs w:val="22"/>
        </w:rPr>
        <w:t>paracasei</w:t>
      </w:r>
      <w:proofErr w:type="spellEnd"/>
      <w:r w:rsidRPr="001E10EC">
        <w:rPr>
          <w:rFonts w:asciiTheme="majorBidi" w:hAnsiTheme="majorBidi" w:cstheme="majorBidi"/>
          <w:sz w:val="22"/>
          <w:szCs w:val="22"/>
        </w:rPr>
        <w:t xml:space="preserve">, both included in </w:t>
      </w:r>
      <w:proofErr w:type="spellStart"/>
      <w:r w:rsidRPr="001E10EC">
        <w:rPr>
          <w:rFonts w:asciiTheme="majorBidi" w:hAnsiTheme="majorBidi" w:cstheme="majorBidi"/>
          <w:sz w:val="22"/>
          <w:szCs w:val="22"/>
        </w:rPr>
        <w:t>VitaGen</w:t>
      </w:r>
      <w:proofErr w:type="spellEnd"/>
      <w:r w:rsidRPr="001E10EC">
        <w:rPr>
          <w:rFonts w:asciiTheme="majorBidi" w:hAnsiTheme="majorBidi" w:cstheme="majorBidi"/>
          <w:sz w:val="22"/>
          <w:szCs w:val="22"/>
        </w:rPr>
        <w:t>, have been associated with increased sperm motility and concentration as well as reduced DNA Fragmentation Index (DFI).</w:t>
      </w:r>
      <w:r w:rsidR="00647B40" w:rsidRPr="001E10EC">
        <w:rPr>
          <w:rFonts w:asciiTheme="majorBidi" w:hAnsiTheme="majorBidi" w:cstheme="majorBidi" w:hint="cs"/>
          <w:sz w:val="22"/>
          <w:szCs w:val="22"/>
          <w:rtl/>
        </w:rPr>
        <w:t xml:space="preserve"> </w:t>
      </w:r>
      <w:r w:rsidR="00647B40" w:rsidRPr="001E10EC">
        <w:rPr>
          <w:rFonts w:asciiTheme="majorBidi" w:hAnsiTheme="majorBidi" w:cstheme="majorBidi"/>
          <w:sz w:val="22"/>
          <w:szCs w:val="22"/>
        </w:rPr>
        <w:t xml:space="preserve">(Abbasi et al., 2020: Abbasi et al., 2021: Kaltsas et al., 2025: De </w:t>
      </w:r>
      <w:proofErr w:type="spellStart"/>
      <w:r w:rsidR="00647B40" w:rsidRPr="001E10EC">
        <w:rPr>
          <w:rFonts w:asciiTheme="majorBidi" w:hAnsiTheme="majorBidi" w:cstheme="majorBidi"/>
          <w:sz w:val="22"/>
          <w:szCs w:val="22"/>
        </w:rPr>
        <w:t>oliveira</w:t>
      </w:r>
      <w:proofErr w:type="spellEnd"/>
      <w:r w:rsidR="00647B40" w:rsidRPr="001E10EC">
        <w:rPr>
          <w:rFonts w:asciiTheme="majorBidi" w:hAnsiTheme="majorBidi" w:cstheme="majorBidi"/>
          <w:sz w:val="22"/>
          <w:szCs w:val="22"/>
        </w:rPr>
        <w:t xml:space="preserve"> et al., 2024).</w:t>
      </w:r>
    </w:p>
    <w:p w14:paraId="068F6C5A" w14:textId="2B3CA0DB" w:rsidR="00605BA1" w:rsidRPr="001E10EC" w:rsidRDefault="006A2A6A" w:rsidP="0062777B">
      <w:pPr>
        <w:spacing w:before="100" w:beforeAutospacing="1" w:after="100" w:afterAutospacing="1" w:line="240" w:lineRule="auto"/>
        <w:jc w:val="both"/>
        <w:rPr>
          <w:rFonts w:asciiTheme="majorBidi" w:eastAsia="Times New Roman" w:hAnsiTheme="majorBidi" w:cstheme="majorBidi"/>
          <w:kern w:val="0"/>
          <w:sz w:val="22"/>
          <w:szCs w:val="22"/>
          <w:rtl/>
          <w:lang w:bidi="fa-IR"/>
          <w14:ligatures w14:val="none"/>
        </w:rPr>
      </w:pPr>
      <w:r w:rsidRPr="001E10EC">
        <w:rPr>
          <w:rFonts w:asciiTheme="majorBidi" w:hAnsiTheme="majorBidi" w:cstheme="majorBidi"/>
          <w:sz w:val="22"/>
          <w:szCs w:val="22"/>
        </w:rPr>
        <w:t xml:space="preserve">Given these considerations, the present study aimed to evaluate the effect of </w:t>
      </w:r>
      <w:proofErr w:type="spellStart"/>
      <w:r w:rsidRPr="001E10EC">
        <w:rPr>
          <w:rStyle w:val="Strong"/>
          <w:rFonts w:asciiTheme="majorBidi" w:hAnsiTheme="majorBidi" w:cstheme="majorBidi"/>
          <w:b w:val="0"/>
          <w:bCs w:val="0"/>
          <w:sz w:val="22"/>
          <w:szCs w:val="22"/>
        </w:rPr>
        <w:t>VitaGen</w:t>
      </w:r>
      <w:proofErr w:type="spellEnd"/>
      <w:r w:rsidRPr="001E10EC">
        <w:rPr>
          <w:rStyle w:val="Strong"/>
          <w:rFonts w:asciiTheme="majorBidi" w:hAnsiTheme="majorBidi" w:cstheme="majorBidi"/>
          <w:b w:val="0"/>
          <w:bCs w:val="0"/>
          <w:sz w:val="22"/>
          <w:szCs w:val="22"/>
        </w:rPr>
        <w:t xml:space="preserve"> supplementation</w:t>
      </w:r>
      <w:r w:rsidRPr="001E10EC">
        <w:rPr>
          <w:rFonts w:asciiTheme="majorBidi" w:hAnsiTheme="majorBidi" w:cstheme="majorBidi"/>
          <w:sz w:val="22"/>
          <w:szCs w:val="22"/>
        </w:rPr>
        <w:t xml:space="preserve"> on key determinants of sperm quality in infertile men. The assessment focused on essential seminal parameters, including semen volume and pH, sperm concentration, total and progressive motility, non-progressive and immotile fractions, sperm morphology, round cell count, and DNA Fragmentation Index (DFI). By examining these factors before and after supplementation, the study sought to determine the potential of </w:t>
      </w:r>
      <w:proofErr w:type="spellStart"/>
      <w:r w:rsidRPr="001E10EC">
        <w:rPr>
          <w:rFonts w:asciiTheme="majorBidi" w:hAnsiTheme="majorBidi" w:cstheme="majorBidi"/>
          <w:sz w:val="22"/>
          <w:szCs w:val="22"/>
        </w:rPr>
        <w:t>VitaGen</w:t>
      </w:r>
      <w:proofErr w:type="spellEnd"/>
      <w:r w:rsidRPr="001E10EC">
        <w:rPr>
          <w:rFonts w:asciiTheme="majorBidi" w:hAnsiTheme="majorBidi" w:cstheme="majorBidi"/>
          <w:sz w:val="22"/>
          <w:szCs w:val="22"/>
        </w:rPr>
        <w:t xml:space="preserve"> to enhance overall sperm performance and improve male fertility outcomes</w:t>
      </w:r>
    </w:p>
    <w:p w14:paraId="6E64FDCF" w14:textId="77777777" w:rsidR="005E550F" w:rsidRDefault="005E550F" w:rsidP="00605BA1">
      <w:pPr>
        <w:spacing w:before="100" w:beforeAutospacing="1" w:after="100" w:afterAutospacing="1" w:line="240" w:lineRule="auto"/>
        <w:jc w:val="both"/>
        <w:rPr>
          <w:rFonts w:ascii="Times New Roman" w:eastAsia="Times New Roman" w:hAnsi="Times New Roman" w:cs="Times New Roman"/>
          <w:b/>
          <w:bCs/>
          <w:kern w:val="0"/>
          <w:sz w:val="22"/>
          <w:szCs w:val="22"/>
          <w:rtl/>
          <w:lang w:bidi="fa-IR"/>
          <w14:ligatures w14:val="none"/>
        </w:rPr>
      </w:pPr>
    </w:p>
    <w:p w14:paraId="7F4275E3" w14:textId="77777777" w:rsidR="005E550F" w:rsidRDefault="005E550F" w:rsidP="00605BA1">
      <w:pPr>
        <w:spacing w:before="100" w:beforeAutospacing="1" w:after="100" w:afterAutospacing="1" w:line="240" w:lineRule="auto"/>
        <w:jc w:val="both"/>
        <w:rPr>
          <w:rFonts w:ascii="Times New Roman" w:eastAsia="Times New Roman" w:hAnsi="Times New Roman" w:cs="Times New Roman"/>
          <w:b/>
          <w:bCs/>
          <w:kern w:val="0"/>
          <w:sz w:val="22"/>
          <w:szCs w:val="22"/>
          <w:rtl/>
          <w:lang w:bidi="fa-IR"/>
          <w14:ligatures w14:val="none"/>
        </w:rPr>
      </w:pPr>
    </w:p>
    <w:p w14:paraId="04F304C5" w14:textId="3369DCA5" w:rsidR="00605BA1" w:rsidRPr="001E10EC" w:rsidRDefault="00605BA1" w:rsidP="00605BA1">
      <w:pPr>
        <w:spacing w:before="100" w:beforeAutospacing="1" w:after="100" w:afterAutospacing="1" w:line="240" w:lineRule="auto"/>
        <w:jc w:val="both"/>
        <w:rPr>
          <w:rFonts w:ascii="Times New Roman" w:eastAsia="Times New Roman" w:hAnsi="Times New Roman" w:cs="Times New Roman"/>
          <w:b/>
          <w:bCs/>
          <w:kern w:val="0"/>
          <w:sz w:val="22"/>
          <w:szCs w:val="22"/>
          <w:lang w:bidi="fa-IR"/>
          <w14:ligatures w14:val="none"/>
        </w:rPr>
      </w:pPr>
      <w:r w:rsidRPr="001E10EC">
        <w:rPr>
          <w:rFonts w:ascii="Times New Roman" w:eastAsia="Times New Roman" w:hAnsi="Times New Roman" w:cs="Times New Roman"/>
          <w:b/>
          <w:bCs/>
          <w:kern w:val="0"/>
          <w:sz w:val="22"/>
          <w:szCs w:val="22"/>
          <w:lang w:bidi="fa-IR"/>
          <w14:ligatures w14:val="none"/>
        </w:rPr>
        <w:t>Materials and Methods</w:t>
      </w:r>
    </w:p>
    <w:p w14:paraId="7A0AAD0A" w14:textId="788B1623" w:rsidR="00605BA1" w:rsidRPr="001E10EC" w:rsidRDefault="00605BA1" w:rsidP="00605BA1">
      <w:pPr>
        <w:spacing w:before="100" w:beforeAutospacing="1" w:after="100" w:afterAutospacing="1" w:line="240" w:lineRule="auto"/>
        <w:jc w:val="both"/>
        <w:rPr>
          <w:rFonts w:ascii="Times New Roman" w:eastAsia="Times New Roman" w:hAnsi="Times New Roman" w:cs="Times New Roman"/>
          <w:b/>
          <w:bCs/>
          <w:kern w:val="0"/>
          <w:sz w:val="22"/>
          <w:szCs w:val="22"/>
          <w:lang w:bidi="fa-IR"/>
          <w14:ligatures w14:val="none"/>
        </w:rPr>
      </w:pPr>
      <w:r w:rsidRPr="001E10EC">
        <w:rPr>
          <w:rFonts w:ascii="Times New Roman" w:eastAsia="Times New Roman" w:hAnsi="Times New Roman" w:cs="Times New Roman"/>
          <w:b/>
          <w:bCs/>
          <w:kern w:val="0"/>
          <w:sz w:val="22"/>
          <w:szCs w:val="22"/>
          <w:lang w:bidi="fa-IR"/>
          <w14:ligatures w14:val="none"/>
        </w:rPr>
        <w:t>Study Design and Participants</w:t>
      </w:r>
    </w:p>
    <w:p w14:paraId="7A80D805" w14:textId="3BEC37A5" w:rsidR="00EA3555" w:rsidRPr="001E10EC" w:rsidRDefault="00EA3555" w:rsidP="00EA3555">
      <w:pPr>
        <w:spacing w:before="100" w:beforeAutospacing="1" w:after="100" w:afterAutospacing="1" w:line="240" w:lineRule="auto"/>
        <w:jc w:val="both"/>
        <w:rPr>
          <w:rFonts w:ascii="Times New Roman" w:eastAsia="Times New Roman" w:hAnsi="Times New Roman" w:cs="Times New Roman"/>
          <w:kern w:val="0"/>
          <w:sz w:val="22"/>
          <w:szCs w:val="22"/>
          <w:rtl/>
          <w:lang w:bidi="fa-IR"/>
          <w14:ligatures w14:val="none"/>
        </w:rPr>
      </w:pPr>
      <w:r w:rsidRPr="001E10EC">
        <w:rPr>
          <w:rFonts w:ascii="Times New Roman" w:eastAsia="Times New Roman" w:hAnsi="Times New Roman" w:cs="Times New Roman"/>
          <w:kern w:val="0"/>
          <w:sz w:val="22"/>
          <w:szCs w:val="22"/>
          <w:lang w:bidi="fa-IR"/>
          <w14:ligatures w14:val="none"/>
        </w:rPr>
        <w:t xml:space="preserve">This prospective interventional study was designed to assess the effects of </w:t>
      </w:r>
      <w:proofErr w:type="spellStart"/>
      <w:r w:rsidRPr="001E10EC">
        <w:rPr>
          <w:rFonts w:ascii="Times New Roman" w:eastAsia="Times New Roman" w:hAnsi="Times New Roman" w:cs="Times New Roman"/>
          <w:kern w:val="0"/>
          <w:sz w:val="22"/>
          <w:szCs w:val="22"/>
          <w:lang w:bidi="fa-IR"/>
          <w14:ligatures w14:val="none"/>
        </w:rPr>
        <w:t>Vitagen</w:t>
      </w:r>
      <w:proofErr w:type="spellEnd"/>
      <w:r w:rsidRPr="001E10EC">
        <w:rPr>
          <w:rFonts w:ascii="Times New Roman" w:eastAsia="Times New Roman" w:hAnsi="Times New Roman" w:cs="Times New Roman"/>
          <w:kern w:val="0"/>
          <w:sz w:val="22"/>
          <w:szCs w:val="22"/>
          <w:lang w:bidi="fa-IR"/>
          <w14:ligatures w14:val="none"/>
        </w:rPr>
        <w:t xml:space="preserve"> on semen quality in infertile men. The study was conducted over a period of six months in accordance with the Declaration of Helsinki</w:t>
      </w:r>
      <w:r w:rsidRPr="001E10EC">
        <w:rPr>
          <w:rFonts w:ascii="Times New Roman" w:eastAsia="Times New Roman" w:hAnsi="Times New Roman" w:cs="Times New Roman" w:hint="cs"/>
          <w:kern w:val="0"/>
          <w:sz w:val="22"/>
          <w:szCs w:val="22"/>
          <w:rtl/>
          <w:lang w:bidi="fa-IR"/>
          <w14:ligatures w14:val="none"/>
        </w:rPr>
        <w:t>.</w:t>
      </w:r>
    </w:p>
    <w:p w14:paraId="5C2C89A9" w14:textId="0ADD478F" w:rsidR="00605BA1" w:rsidRPr="001E10EC" w:rsidRDefault="00605BA1" w:rsidP="00EA3555">
      <w:pPr>
        <w:spacing w:before="100" w:beforeAutospacing="1" w:after="100" w:afterAutospacing="1" w:line="240" w:lineRule="auto"/>
        <w:jc w:val="both"/>
        <w:rPr>
          <w:rFonts w:ascii="Times New Roman" w:eastAsia="Times New Roman" w:hAnsi="Times New Roman" w:cs="Times New Roman"/>
          <w:b/>
          <w:bCs/>
          <w:kern w:val="0"/>
          <w:sz w:val="22"/>
          <w:szCs w:val="22"/>
          <w:lang w:bidi="fa-IR"/>
          <w14:ligatures w14:val="none"/>
        </w:rPr>
      </w:pPr>
      <w:r w:rsidRPr="001E10EC">
        <w:rPr>
          <w:rFonts w:ascii="Times New Roman" w:eastAsia="Times New Roman" w:hAnsi="Times New Roman" w:cs="Times New Roman"/>
          <w:b/>
          <w:bCs/>
          <w:kern w:val="0"/>
          <w:sz w:val="22"/>
          <w:szCs w:val="22"/>
          <w:lang w:bidi="fa-IR"/>
          <w14:ligatures w14:val="none"/>
        </w:rPr>
        <w:t>Inclusion Criteria</w:t>
      </w:r>
    </w:p>
    <w:p w14:paraId="7CC414EA" w14:textId="5BA5FDC3" w:rsidR="00EA3555" w:rsidRPr="001E10EC" w:rsidRDefault="00EA3555" w:rsidP="00EA3555">
      <w:pPr>
        <w:spacing w:before="100" w:beforeAutospacing="1" w:after="100" w:afterAutospacing="1" w:line="240" w:lineRule="auto"/>
        <w:jc w:val="both"/>
        <w:rPr>
          <w:rFonts w:ascii="Times New Roman" w:eastAsia="Times New Roman" w:hAnsi="Times New Roman" w:cs="Times New Roman"/>
          <w:kern w:val="0"/>
          <w:sz w:val="22"/>
          <w:szCs w:val="22"/>
          <w:lang w:bidi="fa-IR"/>
          <w14:ligatures w14:val="none"/>
        </w:rPr>
      </w:pPr>
      <w:r w:rsidRPr="001E10EC">
        <w:rPr>
          <w:rFonts w:ascii="Times New Roman" w:eastAsia="Times New Roman" w:hAnsi="Times New Roman" w:cs="Times New Roman"/>
          <w:kern w:val="0"/>
          <w:sz w:val="22"/>
          <w:szCs w:val="22"/>
          <w:lang w:bidi="fa-IR"/>
          <w14:ligatures w14:val="none"/>
        </w:rPr>
        <w:t>Eligible participants were males aged 20–40 years who were diagnosed with primary infertility, defined as the inability to conceive after at least 12 months of unprotected intercourse. Only individuals exhibiting abnormal semen parameters according to the WHO 2021 guidelines were included, specifically those with sperm concentration below 15 × 10^6/mL, total motility less than 40%, or normal morphology under 5%</w:t>
      </w:r>
      <w:r w:rsidRPr="001E10EC">
        <w:rPr>
          <w:rFonts w:ascii="Times New Roman" w:eastAsia="Times New Roman" w:hAnsi="Times New Roman" w:cs="Times New Roman" w:hint="cs"/>
          <w:kern w:val="0"/>
          <w:sz w:val="22"/>
          <w:szCs w:val="22"/>
          <w:rtl/>
          <w:lang w:bidi="fa-IR"/>
          <w14:ligatures w14:val="none"/>
        </w:rPr>
        <w:t>.</w:t>
      </w:r>
    </w:p>
    <w:p w14:paraId="3614603A" w14:textId="660F02C0" w:rsidR="00605BA1" w:rsidRPr="001E10EC" w:rsidRDefault="00605BA1" w:rsidP="00EA3555">
      <w:pPr>
        <w:spacing w:before="100" w:beforeAutospacing="1" w:after="100" w:afterAutospacing="1" w:line="240" w:lineRule="auto"/>
        <w:jc w:val="both"/>
        <w:rPr>
          <w:rFonts w:ascii="Times New Roman" w:eastAsia="Times New Roman" w:hAnsi="Times New Roman" w:cs="Times New Roman"/>
          <w:b/>
          <w:bCs/>
          <w:kern w:val="0"/>
          <w:sz w:val="22"/>
          <w:szCs w:val="22"/>
          <w:lang w:bidi="fa-IR"/>
          <w14:ligatures w14:val="none"/>
        </w:rPr>
      </w:pPr>
      <w:r w:rsidRPr="001E10EC">
        <w:rPr>
          <w:rFonts w:ascii="Times New Roman" w:eastAsia="Times New Roman" w:hAnsi="Times New Roman" w:cs="Times New Roman"/>
          <w:b/>
          <w:bCs/>
          <w:kern w:val="0"/>
          <w:sz w:val="22"/>
          <w:szCs w:val="22"/>
          <w:lang w:bidi="fa-IR"/>
          <w14:ligatures w14:val="none"/>
        </w:rPr>
        <w:t>Exclusion Criteria</w:t>
      </w:r>
    </w:p>
    <w:p w14:paraId="4902DF0A" w14:textId="37A51666" w:rsidR="00EA3555" w:rsidRPr="001E10EC" w:rsidRDefault="00EA3555" w:rsidP="00EA3555">
      <w:pPr>
        <w:spacing w:before="100" w:beforeAutospacing="1" w:after="100" w:afterAutospacing="1" w:line="240" w:lineRule="auto"/>
        <w:rPr>
          <w:rFonts w:ascii="Times New Roman" w:eastAsia="Times New Roman" w:hAnsi="Times New Roman" w:cs="Times New Roman"/>
          <w:kern w:val="0"/>
          <w:sz w:val="22"/>
          <w:szCs w:val="22"/>
          <w:rtl/>
          <w:lang w:bidi="fa-IR"/>
          <w14:ligatures w14:val="none"/>
        </w:rPr>
      </w:pPr>
      <w:r w:rsidRPr="001E10EC">
        <w:rPr>
          <w:rFonts w:ascii="Times New Roman" w:eastAsia="Times New Roman" w:hAnsi="Times New Roman" w:cs="Times New Roman"/>
          <w:kern w:val="0"/>
          <w:sz w:val="22"/>
          <w:szCs w:val="22"/>
          <w:lang w:bidi="fa-IR"/>
          <w14:ligatures w14:val="none"/>
        </w:rPr>
        <w:t>Participants were excluded if they had known endocrine or hormonal disorders affecting spermatogenesis, a history of genitourinary infections or inflammatory conditions, or had used medications impacting fertility—such as anabolic steroids or chemotherapeutic agents—within the previous six months. Individuals who were unable or unwilling to comply with the study protocols were also excluded</w:t>
      </w:r>
      <w:r w:rsidRPr="001E10EC">
        <w:rPr>
          <w:rFonts w:ascii="Times New Roman" w:eastAsia="Times New Roman" w:hAnsi="Times New Roman" w:cs="Times New Roman" w:hint="cs"/>
          <w:kern w:val="0"/>
          <w:sz w:val="22"/>
          <w:szCs w:val="22"/>
          <w:rtl/>
          <w:lang w:bidi="fa-IR"/>
          <w14:ligatures w14:val="none"/>
        </w:rPr>
        <w:t>.</w:t>
      </w:r>
    </w:p>
    <w:p w14:paraId="4549E40E" w14:textId="4DD95E27" w:rsidR="00605BA1" w:rsidRPr="001E10EC" w:rsidRDefault="00605BA1" w:rsidP="00605BA1">
      <w:pPr>
        <w:spacing w:before="100" w:beforeAutospacing="1" w:after="100" w:afterAutospacing="1" w:line="240" w:lineRule="auto"/>
        <w:rPr>
          <w:rFonts w:ascii="Times New Roman" w:eastAsia="Times New Roman" w:hAnsi="Times New Roman" w:cs="Times New Roman"/>
          <w:b/>
          <w:bCs/>
          <w:kern w:val="0"/>
          <w:sz w:val="22"/>
          <w:szCs w:val="22"/>
          <w:lang w:bidi="fa-IR"/>
          <w14:ligatures w14:val="none"/>
        </w:rPr>
      </w:pPr>
      <w:r w:rsidRPr="001E10EC">
        <w:rPr>
          <w:rFonts w:ascii="Times New Roman" w:eastAsia="Times New Roman" w:hAnsi="Times New Roman" w:cs="Times New Roman"/>
          <w:b/>
          <w:bCs/>
          <w:kern w:val="0"/>
          <w:sz w:val="22"/>
          <w:szCs w:val="22"/>
          <w:lang w:bidi="fa-IR"/>
          <w14:ligatures w14:val="none"/>
        </w:rPr>
        <w:t>Semen Collection and Baseline Analysis</w:t>
      </w:r>
    </w:p>
    <w:p w14:paraId="20D71DF0" w14:textId="26FDE2A6" w:rsidR="00605BA1" w:rsidRPr="001E10EC" w:rsidRDefault="00605BA1" w:rsidP="00605BA1">
      <w:pPr>
        <w:spacing w:before="100" w:beforeAutospacing="1" w:after="100" w:afterAutospacing="1" w:line="240" w:lineRule="auto"/>
        <w:rPr>
          <w:rFonts w:ascii="Times New Roman" w:eastAsia="Times New Roman" w:hAnsi="Times New Roman" w:cs="Times New Roman"/>
          <w:b/>
          <w:bCs/>
          <w:kern w:val="0"/>
          <w:sz w:val="22"/>
          <w:szCs w:val="22"/>
          <w:rtl/>
          <w:lang w:bidi="fa-IR"/>
          <w14:ligatures w14:val="none"/>
        </w:rPr>
      </w:pPr>
      <w:r w:rsidRPr="001E10EC">
        <w:rPr>
          <w:rFonts w:ascii="Times New Roman" w:eastAsia="Times New Roman" w:hAnsi="Times New Roman" w:cs="Times New Roman"/>
          <w:b/>
          <w:bCs/>
          <w:kern w:val="0"/>
          <w:sz w:val="22"/>
          <w:szCs w:val="22"/>
          <w:lang w:bidi="fa-IR"/>
          <w14:ligatures w14:val="none"/>
        </w:rPr>
        <w:t>Sample Collection</w:t>
      </w:r>
    </w:p>
    <w:p w14:paraId="6905DAB3" w14:textId="77777777" w:rsidR="00605BA1" w:rsidRPr="001E10EC" w:rsidRDefault="00605BA1" w:rsidP="00470922">
      <w:pPr>
        <w:spacing w:before="100" w:beforeAutospacing="1" w:after="100" w:afterAutospacing="1" w:line="240" w:lineRule="auto"/>
        <w:jc w:val="both"/>
        <w:rPr>
          <w:rFonts w:ascii="Times New Roman" w:eastAsia="Times New Roman" w:hAnsi="Times New Roman" w:cs="Times New Roman"/>
          <w:kern w:val="0"/>
          <w:sz w:val="22"/>
          <w:szCs w:val="22"/>
          <w:rtl/>
          <w:lang w:bidi="fa-IR"/>
          <w14:ligatures w14:val="none"/>
        </w:rPr>
      </w:pPr>
      <w:r w:rsidRPr="001E10EC">
        <w:rPr>
          <w:rFonts w:ascii="Times New Roman" w:eastAsia="Times New Roman" w:hAnsi="Times New Roman" w:cs="Times New Roman"/>
          <w:kern w:val="0"/>
          <w:sz w:val="22"/>
          <w:szCs w:val="22"/>
          <w:lang w:bidi="fa-IR"/>
          <w14:ligatures w14:val="none"/>
        </w:rPr>
        <w:t>Semen samples were collected by masturbation into sterile containers following 3–5 days of sexual abstinence. Participants were advised to avoid alcohol, caffeine, and any fertility-affecting medications 72 hours prior to collection. Samples were allowed to liquefy at room temperature for 30–60 minutes before analysis.</w:t>
      </w:r>
    </w:p>
    <w:p w14:paraId="67AECC30" w14:textId="74ECC408" w:rsidR="00605BA1" w:rsidRPr="001E10EC" w:rsidRDefault="00605BA1" w:rsidP="00605BA1">
      <w:pPr>
        <w:spacing w:before="100" w:beforeAutospacing="1" w:after="100" w:afterAutospacing="1" w:line="240" w:lineRule="auto"/>
        <w:rPr>
          <w:rFonts w:ascii="Times New Roman" w:eastAsia="Times New Roman" w:hAnsi="Times New Roman" w:cs="Times New Roman"/>
          <w:b/>
          <w:bCs/>
          <w:kern w:val="0"/>
          <w:sz w:val="22"/>
          <w:szCs w:val="22"/>
          <w:rtl/>
          <w:lang w:bidi="fa-IR"/>
          <w14:ligatures w14:val="none"/>
        </w:rPr>
      </w:pPr>
      <w:r w:rsidRPr="001E10EC">
        <w:rPr>
          <w:rFonts w:ascii="Times New Roman" w:eastAsia="Times New Roman" w:hAnsi="Times New Roman" w:cs="Times New Roman"/>
          <w:b/>
          <w:bCs/>
          <w:kern w:val="0"/>
          <w:sz w:val="22"/>
          <w:szCs w:val="22"/>
          <w:lang w:bidi="fa-IR"/>
          <w14:ligatures w14:val="none"/>
        </w:rPr>
        <w:t>Semen Analysis</w:t>
      </w:r>
    </w:p>
    <w:p w14:paraId="7CE7B41D" w14:textId="77777777" w:rsidR="00252B62" w:rsidRPr="001E10EC" w:rsidRDefault="00252B62" w:rsidP="00252B62">
      <w:pPr>
        <w:spacing w:before="100" w:beforeAutospacing="1" w:after="100" w:afterAutospacing="1" w:line="240" w:lineRule="auto"/>
        <w:jc w:val="both"/>
        <w:outlineLvl w:val="2"/>
        <w:rPr>
          <w:rFonts w:ascii="Times New Roman" w:eastAsia="Times New Roman" w:hAnsi="Times New Roman" w:cs="Times New Roman"/>
          <w:kern w:val="0"/>
          <w:sz w:val="22"/>
          <w:szCs w:val="22"/>
          <w:rtl/>
          <w14:ligatures w14:val="none"/>
        </w:rPr>
      </w:pPr>
      <w:r w:rsidRPr="001E10EC">
        <w:rPr>
          <w:rFonts w:ascii="Times New Roman" w:eastAsia="Times New Roman" w:hAnsi="Times New Roman" w:cs="Times New Roman"/>
          <w:kern w:val="0"/>
          <w:sz w:val="22"/>
          <w:szCs w:val="22"/>
          <w14:ligatures w14:val="none"/>
        </w:rPr>
        <w:t>Baseline semen analysis was performed according to the 6th edition of the WHO Laboratory Manual (2021). The following parameters were measured as primary outcomes: semen volume (ml), pH, sperm concentration (M/ml), total motility (%), progressive motility (%), non-progressive motility (%), immotile sperm (%), and sperm morphology (%). All measurements were conducted in duplicate by trained laboratory personnel blinded to participant identity</w:t>
      </w:r>
    </w:p>
    <w:p w14:paraId="1397686C" w14:textId="3319B955" w:rsidR="00605BA1" w:rsidRPr="001E10EC" w:rsidRDefault="00605BA1" w:rsidP="00252B62">
      <w:pPr>
        <w:spacing w:before="100" w:beforeAutospacing="1" w:after="100" w:afterAutospacing="1" w:line="240" w:lineRule="auto"/>
        <w:jc w:val="both"/>
        <w:outlineLvl w:val="2"/>
        <w:rPr>
          <w:rFonts w:ascii="Times New Roman" w:eastAsia="Times New Roman" w:hAnsi="Times New Roman" w:cs="Times New Roman"/>
          <w:b/>
          <w:bCs/>
          <w:kern w:val="0"/>
          <w:sz w:val="22"/>
          <w:szCs w:val="22"/>
          <w14:ligatures w14:val="none"/>
        </w:rPr>
      </w:pPr>
      <w:r w:rsidRPr="001E10EC">
        <w:rPr>
          <w:rFonts w:ascii="Times New Roman" w:eastAsia="Times New Roman" w:hAnsi="Times New Roman" w:cs="Times New Roman"/>
          <w:b/>
          <w:bCs/>
          <w:kern w:val="0"/>
          <w:sz w:val="22"/>
          <w:szCs w:val="22"/>
          <w14:ligatures w14:val="none"/>
        </w:rPr>
        <w:t xml:space="preserve">Intervention: </w:t>
      </w:r>
      <w:proofErr w:type="spellStart"/>
      <w:r w:rsidRPr="001E10EC">
        <w:rPr>
          <w:rFonts w:ascii="Times New Roman" w:eastAsia="Times New Roman" w:hAnsi="Times New Roman" w:cs="Times New Roman"/>
          <w:b/>
          <w:bCs/>
          <w:kern w:val="0"/>
          <w:sz w:val="22"/>
          <w:szCs w:val="22"/>
          <w14:ligatures w14:val="none"/>
        </w:rPr>
        <w:t>Vitagen</w:t>
      </w:r>
      <w:proofErr w:type="spellEnd"/>
      <w:r w:rsidRPr="001E10EC">
        <w:rPr>
          <w:rFonts w:ascii="Times New Roman" w:eastAsia="Times New Roman" w:hAnsi="Times New Roman" w:cs="Times New Roman"/>
          <w:b/>
          <w:bCs/>
          <w:kern w:val="0"/>
          <w:sz w:val="22"/>
          <w:szCs w:val="22"/>
          <w14:ligatures w14:val="none"/>
        </w:rPr>
        <w:t xml:space="preserve"> Administration</w:t>
      </w:r>
    </w:p>
    <w:p w14:paraId="328DB9EC" w14:textId="77777777" w:rsidR="00605BA1" w:rsidRPr="001E10EC" w:rsidRDefault="00605BA1" w:rsidP="00605BA1">
      <w:pPr>
        <w:spacing w:before="100" w:beforeAutospacing="1" w:after="100" w:afterAutospacing="1" w:line="240" w:lineRule="auto"/>
        <w:rPr>
          <w:rFonts w:ascii="Times New Roman" w:eastAsia="Times New Roman" w:hAnsi="Times New Roman" w:cs="Times New Roman"/>
          <w:kern w:val="0"/>
          <w:sz w:val="22"/>
          <w:szCs w:val="22"/>
          <w14:ligatures w14:val="none"/>
        </w:rPr>
      </w:pPr>
      <w:r w:rsidRPr="001E10EC">
        <w:rPr>
          <w:rFonts w:ascii="Times New Roman" w:eastAsia="Times New Roman" w:hAnsi="Times New Roman" w:cs="Times New Roman"/>
          <w:kern w:val="0"/>
          <w:sz w:val="22"/>
          <w:szCs w:val="22"/>
          <w14:ligatures w14:val="none"/>
        </w:rPr>
        <w:t xml:space="preserve">Participants received </w:t>
      </w:r>
      <w:proofErr w:type="spellStart"/>
      <w:r w:rsidRPr="001E10EC">
        <w:rPr>
          <w:rFonts w:ascii="Times New Roman" w:eastAsia="Times New Roman" w:hAnsi="Times New Roman" w:cs="Times New Roman"/>
          <w:kern w:val="0"/>
          <w:sz w:val="22"/>
          <w:szCs w:val="22"/>
          <w14:ligatures w14:val="none"/>
        </w:rPr>
        <w:t>Vitagen</w:t>
      </w:r>
      <w:proofErr w:type="spellEnd"/>
      <w:r w:rsidRPr="001E10EC">
        <w:rPr>
          <w:rFonts w:ascii="Times New Roman" w:eastAsia="Times New Roman" w:hAnsi="Times New Roman" w:cs="Times New Roman"/>
          <w:kern w:val="0"/>
          <w:sz w:val="22"/>
          <w:szCs w:val="22"/>
          <w14:ligatures w14:val="none"/>
        </w:rPr>
        <w:t xml:space="preserve"> at a daily dose prescribed by their treating physician. Treatment duration was 3–6 months, depending on individual response and adherence.</w:t>
      </w:r>
    </w:p>
    <w:p w14:paraId="02225F8A" w14:textId="50884409" w:rsidR="00605BA1" w:rsidRPr="001E10EC" w:rsidRDefault="00605BA1" w:rsidP="00605BA1">
      <w:pPr>
        <w:spacing w:before="100" w:beforeAutospacing="1" w:after="100" w:afterAutospacing="1" w:line="240" w:lineRule="auto"/>
        <w:outlineLvl w:val="3"/>
        <w:rPr>
          <w:rFonts w:ascii="Times New Roman" w:eastAsia="Times New Roman" w:hAnsi="Times New Roman" w:cs="Times New Roman"/>
          <w:b/>
          <w:bCs/>
          <w:kern w:val="0"/>
          <w:sz w:val="22"/>
          <w:szCs w:val="22"/>
          <w14:ligatures w14:val="none"/>
        </w:rPr>
      </w:pPr>
      <w:r w:rsidRPr="001E10EC">
        <w:rPr>
          <w:rFonts w:ascii="Times New Roman" w:eastAsia="Times New Roman" w:hAnsi="Times New Roman" w:cs="Times New Roman"/>
          <w:b/>
          <w:bCs/>
          <w:kern w:val="0"/>
          <w:sz w:val="22"/>
          <w:szCs w:val="22"/>
          <w14:ligatures w14:val="none"/>
        </w:rPr>
        <w:lastRenderedPageBreak/>
        <w:t>Follow-up</w:t>
      </w:r>
    </w:p>
    <w:p w14:paraId="191C0342" w14:textId="77777777" w:rsidR="00470922" w:rsidRPr="001E10EC" w:rsidRDefault="00470922" w:rsidP="00470922">
      <w:pPr>
        <w:spacing w:before="100" w:beforeAutospacing="1" w:after="100" w:afterAutospacing="1" w:line="240" w:lineRule="auto"/>
        <w:jc w:val="both"/>
        <w:outlineLvl w:val="2"/>
        <w:rPr>
          <w:rFonts w:asciiTheme="majorBidi" w:hAnsiTheme="majorBidi" w:cstheme="majorBidi"/>
          <w:sz w:val="22"/>
          <w:szCs w:val="22"/>
          <w:rtl/>
        </w:rPr>
      </w:pPr>
      <w:r w:rsidRPr="001E10EC">
        <w:rPr>
          <w:rFonts w:asciiTheme="majorBidi" w:hAnsiTheme="majorBidi" w:cstheme="majorBidi"/>
          <w:sz w:val="22"/>
          <w:szCs w:val="22"/>
        </w:rPr>
        <w:t>Participants were followed up on a monthly basis to monitor for any adverse events and to ensure adherence to the treatment regimen. During these follow-ups, participants were also counseled to maintain stable lifestyle factors and to avoid behaviors that could negatively affect sperm quality, including smoking, alcohol consumption, and exposure to excessive heat</w:t>
      </w:r>
    </w:p>
    <w:p w14:paraId="5E1E2DCD" w14:textId="16A6EBFB" w:rsidR="00605BA1" w:rsidRPr="001E10EC" w:rsidRDefault="00605BA1" w:rsidP="00605BA1">
      <w:pPr>
        <w:spacing w:before="100" w:beforeAutospacing="1" w:after="100" w:afterAutospacing="1" w:line="240" w:lineRule="auto"/>
        <w:outlineLvl w:val="2"/>
        <w:rPr>
          <w:rFonts w:ascii="Times New Roman" w:eastAsia="Times New Roman" w:hAnsi="Times New Roman" w:cs="Times New Roman"/>
          <w:b/>
          <w:bCs/>
          <w:kern w:val="0"/>
          <w:sz w:val="22"/>
          <w:szCs w:val="22"/>
          <w14:ligatures w14:val="none"/>
        </w:rPr>
      </w:pPr>
      <w:r w:rsidRPr="001E10EC">
        <w:rPr>
          <w:rFonts w:ascii="Times New Roman" w:eastAsia="Times New Roman" w:hAnsi="Times New Roman" w:cs="Times New Roman"/>
          <w:b/>
          <w:bCs/>
          <w:kern w:val="0"/>
          <w:sz w:val="22"/>
          <w:szCs w:val="22"/>
          <w14:ligatures w14:val="none"/>
        </w:rPr>
        <w:t>Post-treatment Semen Analysis</w:t>
      </w:r>
    </w:p>
    <w:p w14:paraId="0DD67AF1" w14:textId="170F8BFC" w:rsidR="00470922" w:rsidRPr="001E10EC" w:rsidRDefault="00470922" w:rsidP="00470922">
      <w:pPr>
        <w:spacing w:before="100" w:beforeAutospacing="1" w:after="100" w:afterAutospacing="1" w:line="240" w:lineRule="auto"/>
        <w:jc w:val="both"/>
        <w:outlineLvl w:val="2"/>
        <w:rPr>
          <w:rFonts w:ascii="Times New Roman" w:eastAsia="Times New Roman" w:hAnsi="Times New Roman" w:cs="Times New Roman"/>
          <w:kern w:val="0"/>
          <w:sz w:val="22"/>
          <w:szCs w:val="22"/>
          <w14:ligatures w14:val="none"/>
        </w:rPr>
      </w:pPr>
      <w:r w:rsidRPr="001E10EC">
        <w:rPr>
          <w:rFonts w:ascii="Times New Roman" w:eastAsia="Times New Roman" w:hAnsi="Times New Roman" w:cs="Times New Roman"/>
          <w:kern w:val="0"/>
          <w:sz w:val="22"/>
          <w:szCs w:val="22"/>
          <w14:ligatures w14:val="none"/>
        </w:rPr>
        <w:t>After completion of the treatment course, semen samples were collected under the same conditions as at baseline, following 3–5 days of sexual abstinence, using sterile containers, and allowing liquefaction at room temperature. The same semen parameters—including volume, pH, viscosity, liquefaction time, sperm concentration, total count, motility, morphology, and viability—were re-evaluated according to WHO guidelines. Laboratory personnel conducting the post-treatment analyses were blinded to baseline results in order to minimize bias.</w:t>
      </w:r>
    </w:p>
    <w:p w14:paraId="54FF3C74" w14:textId="1CB7C671" w:rsidR="00605BA1" w:rsidRPr="001E10EC" w:rsidRDefault="00605BA1" w:rsidP="00605BA1">
      <w:pPr>
        <w:spacing w:before="100" w:beforeAutospacing="1" w:after="100" w:afterAutospacing="1" w:line="240" w:lineRule="auto"/>
        <w:outlineLvl w:val="2"/>
        <w:rPr>
          <w:rFonts w:ascii="Times New Roman" w:eastAsia="Times New Roman" w:hAnsi="Times New Roman" w:cs="Times New Roman"/>
          <w:b/>
          <w:bCs/>
          <w:kern w:val="0"/>
          <w:sz w:val="22"/>
          <w:szCs w:val="22"/>
          <w14:ligatures w14:val="none"/>
        </w:rPr>
      </w:pPr>
      <w:r w:rsidRPr="001E10EC">
        <w:rPr>
          <w:rFonts w:ascii="Times New Roman" w:eastAsia="Times New Roman" w:hAnsi="Times New Roman" w:cs="Times New Roman"/>
          <w:b/>
          <w:bCs/>
          <w:kern w:val="0"/>
          <w:sz w:val="22"/>
          <w:szCs w:val="22"/>
          <w14:ligatures w14:val="none"/>
        </w:rPr>
        <w:t>Statistical Analysis</w:t>
      </w:r>
    </w:p>
    <w:p w14:paraId="21631F64" w14:textId="2E04714B" w:rsidR="00470922" w:rsidRPr="001E10EC" w:rsidRDefault="00470922" w:rsidP="00211D87">
      <w:pPr>
        <w:spacing w:before="100" w:beforeAutospacing="1" w:after="100" w:afterAutospacing="1" w:line="240" w:lineRule="auto"/>
        <w:jc w:val="both"/>
        <w:outlineLvl w:val="2"/>
        <w:rPr>
          <w:rFonts w:ascii="Times New Roman" w:eastAsia="Times New Roman" w:hAnsi="Times New Roman" w:cs="Times New Roman"/>
          <w:kern w:val="0"/>
          <w:sz w:val="22"/>
          <w:szCs w:val="22"/>
          <w:rtl/>
          <w14:ligatures w14:val="none"/>
        </w:rPr>
      </w:pPr>
      <w:r w:rsidRPr="001E10EC">
        <w:rPr>
          <w:rFonts w:ascii="Times New Roman" w:eastAsia="Times New Roman" w:hAnsi="Times New Roman" w:cs="Times New Roman"/>
          <w:kern w:val="0"/>
          <w:sz w:val="22"/>
          <w:szCs w:val="22"/>
          <w14:ligatures w14:val="none"/>
        </w:rPr>
        <w:t xml:space="preserve">Continuous variables were presented as mean ± standard deviation (SD) or median with interquartile range, depending on the distribution of the data. Normality was assessed using the </w:t>
      </w:r>
      <w:r w:rsidR="00211D87">
        <w:rPr>
          <w:rFonts w:ascii="Times New Roman" w:eastAsia="Times New Roman" w:hAnsi="Times New Roman" w:cs="Times New Roman"/>
          <w:kern w:val="0"/>
          <w:sz w:val="22"/>
          <w:szCs w:val="22"/>
          <w14:ligatures w14:val="none"/>
        </w:rPr>
        <w:t>Kolmogorov</w:t>
      </w:r>
      <w:r w:rsidRPr="001E10EC">
        <w:rPr>
          <w:rFonts w:ascii="Times New Roman" w:eastAsia="Times New Roman" w:hAnsi="Times New Roman" w:cs="Times New Roman"/>
          <w:kern w:val="0"/>
          <w:sz w:val="22"/>
          <w:szCs w:val="22"/>
          <w14:ligatures w14:val="none"/>
        </w:rPr>
        <w:t>–</w:t>
      </w:r>
      <w:proofErr w:type="spellStart"/>
      <w:r w:rsidR="00211D87">
        <w:rPr>
          <w:rFonts w:ascii="Times New Roman" w:eastAsia="Times New Roman" w:hAnsi="Times New Roman" w:cs="Times New Roman"/>
          <w:kern w:val="0"/>
          <w:sz w:val="22"/>
          <w:szCs w:val="22"/>
          <w14:ligatures w14:val="none"/>
        </w:rPr>
        <w:t>smirnov</w:t>
      </w:r>
      <w:proofErr w:type="spellEnd"/>
      <w:r w:rsidRPr="001E10EC">
        <w:rPr>
          <w:rFonts w:ascii="Times New Roman" w:eastAsia="Times New Roman" w:hAnsi="Times New Roman" w:cs="Times New Roman"/>
          <w:kern w:val="0"/>
          <w:sz w:val="22"/>
          <w:szCs w:val="22"/>
          <w14:ligatures w14:val="none"/>
        </w:rPr>
        <w:t xml:space="preserve"> test. For normally distributed data, paired t-tests were employed to compare pre- and post-treatment parameters, whereas Wilcoxon signed-rank tests were used for non-normally distributed variables. Statistical significance was defined as p &lt; 0.05. All analyses were conducted </w:t>
      </w:r>
      <w:r w:rsidRPr="00211D87">
        <w:rPr>
          <w:rFonts w:ascii="Times New Roman" w:eastAsia="Times New Roman" w:hAnsi="Times New Roman" w:cs="Times New Roman"/>
          <w:kern w:val="0"/>
          <w:sz w:val="22"/>
          <w:szCs w:val="22"/>
          <w14:ligatures w14:val="none"/>
        </w:rPr>
        <w:t>using SPSS version</w:t>
      </w:r>
      <w:r w:rsidR="00211D87">
        <w:rPr>
          <w:rFonts w:ascii="Times New Roman" w:eastAsia="Times New Roman" w:hAnsi="Times New Roman" w:cs="Times New Roman"/>
          <w:kern w:val="0"/>
          <w:sz w:val="22"/>
          <w:szCs w:val="22"/>
          <w14:ligatures w14:val="none"/>
        </w:rPr>
        <w:t xml:space="preserve"> 26.</w:t>
      </w:r>
    </w:p>
    <w:p w14:paraId="2F1148B8" w14:textId="514490C0" w:rsidR="00605BA1" w:rsidRPr="001E10EC" w:rsidRDefault="00605BA1" w:rsidP="00605BA1">
      <w:pPr>
        <w:spacing w:before="100" w:beforeAutospacing="1" w:after="100" w:afterAutospacing="1" w:line="240" w:lineRule="auto"/>
        <w:outlineLvl w:val="2"/>
        <w:rPr>
          <w:rFonts w:ascii="Times New Roman" w:eastAsia="Times New Roman" w:hAnsi="Times New Roman" w:cs="Times New Roman"/>
          <w:b/>
          <w:bCs/>
          <w:kern w:val="0"/>
          <w:sz w:val="22"/>
          <w:szCs w:val="22"/>
          <w14:ligatures w14:val="none"/>
        </w:rPr>
      </w:pPr>
      <w:r w:rsidRPr="001E10EC">
        <w:rPr>
          <w:rFonts w:ascii="Times New Roman" w:eastAsia="Times New Roman" w:hAnsi="Times New Roman" w:cs="Times New Roman"/>
          <w:b/>
          <w:bCs/>
          <w:kern w:val="0"/>
          <w:sz w:val="22"/>
          <w:szCs w:val="22"/>
          <w14:ligatures w14:val="none"/>
        </w:rPr>
        <w:t>Ethical Considerations</w:t>
      </w:r>
    </w:p>
    <w:p w14:paraId="69C01F02" w14:textId="5F527E70" w:rsidR="00605BA1" w:rsidRPr="001E10EC" w:rsidRDefault="00470922" w:rsidP="00470922">
      <w:pPr>
        <w:spacing w:after="0" w:line="240" w:lineRule="auto"/>
        <w:jc w:val="both"/>
        <w:rPr>
          <w:rFonts w:ascii="Times New Roman" w:eastAsia="Times New Roman" w:hAnsi="Times New Roman" w:cs="Times New Roman"/>
          <w:kern w:val="0"/>
          <w:sz w:val="22"/>
          <w:szCs w:val="22"/>
          <w:rtl/>
          <w:lang w:bidi="fa-IR"/>
          <w14:ligatures w14:val="none"/>
        </w:rPr>
      </w:pPr>
      <w:r w:rsidRPr="001E10EC">
        <w:rPr>
          <w:rFonts w:ascii="Times New Roman" w:eastAsia="Times New Roman" w:hAnsi="Times New Roman" w:cs="Times New Roman"/>
          <w:kern w:val="0"/>
          <w:sz w:val="22"/>
          <w:szCs w:val="22"/>
          <w:lang w:bidi="fa-IR"/>
          <w14:ligatures w14:val="none"/>
        </w:rPr>
        <w:t>Written informed consent was obtained from all participants prior to enrollment, and participant confidentiality was strictly maintained throughout the study. The study was conducted in accordance with all applicable ethical guidelines</w:t>
      </w:r>
      <w:r w:rsidRPr="001E10EC">
        <w:rPr>
          <w:rFonts w:ascii="Times New Roman" w:eastAsia="Times New Roman" w:hAnsi="Times New Roman" w:cs="Times New Roman" w:hint="cs"/>
          <w:kern w:val="0"/>
          <w:sz w:val="22"/>
          <w:szCs w:val="22"/>
          <w:rtl/>
          <w:lang w:bidi="fa-IR"/>
          <w14:ligatures w14:val="none"/>
        </w:rPr>
        <w:t>.</w:t>
      </w:r>
    </w:p>
    <w:p w14:paraId="08D48378" w14:textId="50BDB378" w:rsidR="000B2E0A" w:rsidRPr="001E10EC" w:rsidRDefault="000B2E0A" w:rsidP="003E66C5">
      <w:pPr>
        <w:spacing w:after="0" w:line="240" w:lineRule="auto"/>
        <w:jc w:val="both"/>
        <w:rPr>
          <w:rFonts w:ascii="Times New Roman" w:eastAsia="Times New Roman" w:hAnsi="Times New Roman" w:cs="Times New Roman"/>
          <w:kern w:val="0"/>
          <w:sz w:val="22"/>
          <w:szCs w:val="22"/>
          <w14:ligatures w14:val="none"/>
        </w:rPr>
      </w:pPr>
    </w:p>
    <w:p w14:paraId="1EC0D94D" w14:textId="4D658C08" w:rsidR="00146977" w:rsidRPr="001E10EC" w:rsidRDefault="00470922" w:rsidP="00470922">
      <w:pPr>
        <w:jc w:val="both"/>
        <w:rPr>
          <w:rFonts w:asciiTheme="majorBidi" w:hAnsiTheme="majorBidi" w:cstheme="majorBidi"/>
          <w:b/>
          <w:bCs/>
          <w:sz w:val="22"/>
          <w:szCs w:val="22"/>
        </w:rPr>
      </w:pPr>
      <w:r w:rsidRPr="001E10EC">
        <w:rPr>
          <w:rFonts w:asciiTheme="majorBidi" w:hAnsiTheme="majorBidi" w:cstheme="majorBidi"/>
          <w:b/>
          <w:bCs/>
          <w:sz w:val="22"/>
          <w:szCs w:val="22"/>
        </w:rPr>
        <w:t>Result</w:t>
      </w:r>
    </w:p>
    <w:p w14:paraId="70EE96E1" w14:textId="77777777" w:rsidR="00B64DC6" w:rsidRPr="00B64DC6" w:rsidRDefault="00B64DC6" w:rsidP="00B64DC6">
      <w:pPr>
        <w:pStyle w:val="NormalWeb"/>
        <w:jc w:val="both"/>
        <w:rPr>
          <w:sz w:val="22"/>
          <w:szCs w:val="22"/>
        </w:rPr>
      </w:pPr>
      <w:r w:rsidRPr="00B64DC6">
        <w:rPr>
          <w:sz w:val="22"/>
          <w:szCs w:val="22"/>
        </w:rPr>
        <w:t xml:space="preserve">A total of 100 infertile men were included in the final analysis. Semen quality was assessed using the primary measurable parameters defined by the WHO Laboratory Manual (6th edition), including </w:t>
      </w:r>
      <w:r w:rsidRPr="00B64DC6">
        <w:rPr>
          <w:rStyle w:val="Strong"/>
          <w:rFonts w:eastAsiaTheme="majorEastAsia"/>
          <w:b w:val="0"/>
          <w:bCs w:val="0"/>
          <w:sz w:val="22"/>
          <w:szCs w:val="22"/>
        </w:rPr>
        <w:t>semen volume (ml), pH, sperm concentration (M/ml), total motility (%), progressive motility (%), non-progressive motility (%), immotile sperm (%), and sperm morphology (%)</w:t>
      </w:r>
      <w:r w:rsidRPr="00B64DC6">
        <w:rPr>
          <w:b/>
          <w:bCs/>
          <w:sz w:val="22"/>
          <w:szCs w:val="22"/>
        </w:rPr>
        <w:t>.</w:t>
      </w:r>
      <w:r w:rsidRPr="00B64DC6">
        <w:rPr>
          <w:sz w:val="22"/>
          <w:szCs w:val="22"/>
        </w:rPr>
        <w:t xml:space="preserve"> All measurements were performed according to standardized laboratory procedures, providing a comprehensive baseline profile of seminal characteristics in the study population.</w:t>
      </w:r>
    </w:p>
    <w:p w14:paraId="0C1F2263" w14:textId="77777777" w:rsidR="00B64DC6" w:rsidRPr="00B64DC6" w:rsidRDefault="00B64DC6" w:rsidP="00B64DC6">
      <w:pPr>
        <w:pStyle w:val="NormalWeb"/>
        <w:jc w:val="both"/>
        <w:rPr>
          <w:sz w:val="22"/>
          <w:szCs w:val="22"/>
        </w:rPr>
      </w:pPr>
      <w:r w:rsidRPr="00B64DC6">
        <w:rPr>
          <w:sz w:val="22"/>
          <w:szCs w:val="22"/>
        </w:rPr>
        <w:t xml:space="preserve">The descriptive analysis revealed considerable variability among individuals. </w:t>
      </w:r>
      <w:r w:rsidRPr="00B64DC6">
        <w:rPr>
          <w:rStyle w:val="Strong"/>
          <w:rFonts w:eastAsiaTheme="majorEastAsia"/>
          <w:b w:val="0"/>
          <w:bCs w:val="0"/>
          <w:sz w:val="22"/>
          <w:szCs w:val="22"/>
        </w:rPr>
        <w:t>Semen volume</w:t>
      </w:r>
      <w:r w:rsidRPr="00B64DC6">
        <w:rPr>
          <w:sz w:val="22"/>
          <w:szCs w:val="22"/>
        </w:rPr>
        <w:t xml:space="preserve"> ranged widely across the cohort, with a mean value of </w:t>
      </w:r>
      <w:r w:rsidRPr="00B64DC6">
        <w:rPr>
          <w:rStyle w:val="Strong"/>
          <w:rFonts w:eastAsiaTheme="majorEastAsia"/>
          <w:b w:val="0"/>
          <w:bCs w:val="0"/>
          <w:sz w:val="22"/>
          <w:szCs w:val="22"/>
        </w:rPr>
        <w:t>2.46 ± 0.12 ml</w:t>
      </w:r>
      <w:r w:rsidRPr="00B64DC6">
        <w:rPr>
          <w:sz w:val="22"/>
          <w:szCs w:val="22"/>
        </w:rPr>
        <w:t xml:space="preserve"> at baseline, increasing to </w:t>
      </w:r>
      <w:r w:rsidRPr="00B64DC6">
        <w:rPr>
          <w:rStyle w:val="Strong"/>
          <w:rFonts w:eastAsiaTheme="majorEastAsia"/>
          <w:b w:val="0"/>
          <w:bCs w:val="0"/>
          <w:sz w:val="22"/>
          <w:szCs w:val="22"/>
        </w:rPr>
        <w:t>3.20 ± 0.15 ml</w:t>
      </w:r>
      <w:r w:rsidRPr="00B64DC6">
        <w:rPr>
          <w:sz w:val="22"/>
          <w:szCs w:val="22"/>
        </w:rPr>
        <w:t xml:space="preserve"> following supplementation (Fig. 1). Similarly, seminal </w:t>
      </w:r>
      <w:r w:rsidRPr="00B64DC6">
        <w:rPr>
          <w:rStyle w:val="Strong"/>
          <w:rFonts w:eastAsiaTheme="majorEastAsia"/>
          <w:b w:val="0"/>
          <w:bCs w:val="0"/>
          <w:sz w:val="22"/>
          <w:szCs w:val="22"/>
        </w:rPr>
        <w:t>pH</w:t>
      </w:r>
      <w:r w:rsidRPr="00B64DC6">
        <w:rPr>
          <w:sz w:val="22"/>
          <w:szCs w:val="22"/>
        </w:rPr>
        <w:t xml:space="preserve"> showed some dispersion around reference limits, with baseline values of </w:t>
      </w:r>
      <w:r w:rsidRPr="00B64DC6">
        <w:rPr>
          <w:rStyle w:val="Strong"/>
          <w:rFonts w:eastAsiaTheme="majorEastAsia"/>
          <w:b w:val="0"/>
          <w:bCs w:val="0"/>
          <w:sz w:val="22"/>
          <w:szCs w:val="22"/>
        </w:rPr>
        <w:t>7.20 ± 0.35</w:t>
      </w:r>
      <w:r w:rsidRPr="00B64DC6">
        <w:rPr>
          <w:sz w:val="22"/>
          <w:szCs w:val="22"/>
        </w:rPr>
        <w:t xml:space="preserve"> rising to </w:t>
      </w:r>
      <w:r w:rsidRPr="00B64DC6">
        <w:rPr>
          <w:rStyle w:val="Strong"/>
          <w:rFonts w:eastAsiaTheme="majorEastAsia"/>
          <w:b w:val="0"/>
          <w:bCs w:val="0"/>
          <w:sz w:val="22"/>
          <w:szCs w:val="22"/>
        </w:rPr>
        <w:t>7.37 ± 0.36</w:t>
      </w:r>
      <w:r w:rsidRPr="00B64DC6">
        <w:rPr>
          <w:sz w:val="22"/>
          <w:szCs w:val="22"/>
        </w:rPr>
        <w:t xml:space="preserve"> post-intervention. </w:t>
      </w:r>
      <w:r w:rsidRPr="00B64DC6">
        <w:rPr>
          <w:rStyle w:val="Strong"/>
          <w:rFonts w:eastAsiaTheme="majorEastAsia"/>
          <w:b w:val="0"/>
          <w:bCs w:val="0"/>
          <w:sz w:val="22"/>
          <w:szCs w:val="22"/>
        </w:rPr>
        <w:t>Sperm concentration</w:t>
      </w:r>
      <w:r w:rsidRPr="00B64DC6">
        <w:rPr>
          <w:sz w:val="22"/>
          <w:szCs w:val="22"/>
        </w:rPr>
        <w:t xml:space="preserve"> also exhibited marked heterogeneity, with certain samples presenting notably low counts while others showed relatively higher values within this infertile population (Fig. 2–3)</w:t>
      </w:r>
    </w:p>
    <w:p w14:paraId="07E25AC7" w14:textId="415C3C22" w:rsidR="00170979" w:rsidRDefault="00170979" w:rsidP="00170979">
      <w:pPr>
        <w:jc w:val="center"/>
        <w:rPr>
          <w:rFonts w:asciiTheme="majorBidi" w:hAnsiTheme="majorBidi" w:cstheme="majorBidi"/>
        </w:rPr>
      </w:pPr>
      <w:r>
        <w:rPr>
          <w:noProof/>
        </w:rPr>
        <w:lastRenderedPageBreak/>
        <w:drawing>
          <wp:inline distT="0" distB="0" distL="0" distR="0" wp14:anchorId="0A7BBBCC" wp14:editId="08EEC708">
            <wp:extent cx="4536141" cy="2689412"/>
            <wp:effectExtent l="0" t="0" r="17145" b="15875"/>
            <wp:docPr id="1900301309" name="Chart 1">
              <a:extLst xmlns:a="http://schemas.openxmlformats.org/drawingml/2006/main">
                <a:ext uri="{FF2B5EF4-FFF2-40B4-BE49-F238E27FC236}">
                  <a16:creationId xmlns:a16="http://schemas.microsoft.com/office/drawing/2014/main" id="{00000000-0008-0000-03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A23EDA8" w14:textId="5A80379C" w:rsidR="00170979" w:rsidRPr="00B64DC6" w:rsidRDefault="00170979" w:rsidP="00170979">
      <w:pPr>
        <w:jc w:val="center"/>
        <w:rPr>
          <w:rFonts w:asciiTheme="majorBidi" w:hAnsiTheme="majorBidi" w:cstheme="majorBidi"/>
          <w:sz w:val="20"/>
          <w:szCs w:val="20"/>
          <w:rtl/>
          <w:lang w:bidi="fa-IR"/>
        </w:rPr>
      </w:pPr>
      <w:r w:rsidRPr="00B64DC6">
        <w:rPr>
          <w:rFonts w:asciiTheme="majorBidi" w:hAnsiTheme="majorBidi" w:cstheme="majorBidi"/>
          <w:sz w:val="20"/>
          <w:szCs w:val="20"/>
        </w:rPr>
        <w:t>Figure 1. Semen volume in the study population before and after supplementation</w:t>
      </w:r>
    </w:p>
    <w:p w14:paraId="1AB1CF77" w14:textId="77777777" w:rsidR="00170979" w:rsidRDefault="00170979" w:rsidP="005E550F">
      <w:pPr>
        <w:jc w:val="both"/>
        <w:rPr>
          <w:rFonts w:asciiTheme="majorBidi" w:hAnsiTheme="majorBidi" w:cstheme="majorBidi"/>
        </w:rPr>
      </w:pPr>
    </w:p>
    <w:p w14:paraId="2A67DA38" w14:textId="466326AD" w:rsidR="00170979" w:rsidRDefault="00AF0E67" w:rsidP="00AF0E67">
      <w:pPr>
        <w:jc w:val="center"/>
        <w:rPr>
          <w:rFonts w:asciiTheme="majorBidi" w:hAnsiTheme="majorBidi" w:cstheme="majorBidi"/>
          <w:rtl/>
        </w:rPr>
      </w:pPr>
      <w:r>
        <w:rPr>
          <w:noProof/>
        </w:rPr>
        <w:drawing>
          <wp:inline distT="0" distB="0" distL="0" distR="0" wp14:anchorId="64CF9D14" wp14:editId="0BC9E721">
            <wp:extent cx="4536141" cy="2689412"/>
            <wp:effectExtent l="0" t="0" r="17145" b="15875"/>
            <wp:docPr id="2115510051" name="Chart 1">
              <a:extLst xmlns:a="http://schemas.openxmlformats.org/drawingml/2006/main">
                <a:ext uri="{FF2B5EF4-FFF2-40B4-BE49-F238E27FC236}">
                  <a16:creationId xmlns:a16="http://schemas.microsoft.com/office/drawing/2014/main" id="{00000000-0008-0000-03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BACF853" w14:textId="3DBF9B43" w:rsidR="00AF0E67" w:rsidRPr="00B64DC6" w:rsidRDefault="00AF0E67" w:rsidP="00AF0E67">
      <w:pPr>
        <w:jc w:val="center"/>
        <w:rPr>
          <w:rFonts w:asciiTheme="majorBidi" w:hAnsiTheme="majorBidi" w:cstheme="majorBidi"/>
          <w:sz w:val="20"/>
          <w:szCs w:val="20"/>
        </w:rPr>
      </w:pPr>
      <w:r w:rsidRPr="00B64DC6">
        <w:rPr>
          <w:rFonts w:asciiTheme="majorBidi" w:hAnsiTheme="majorBidi" w:cstheme="majorBidi"/>
          <w:sz w:val="20"/>
          <w:szCs w:val="20"/>
        </w:rPr>
        <w:t>Figure 2. Seminal pH before and after supplementation</w:t>
      </w:r>
    </w:p>
    <w:p w14:paraId="358457DE" w14:textId="6E052AFE" w:rsidR="00170979" w:rsidRDefault="00AF0E67" w:rsidP="00AF0E67">
      <w:pPr>
        <w:jc w:val="center"/>
        <w:rPr>
          <w:rFonts w:asciiTheme="majorBidi" w:hAnsiTheme="majorBidi" w:cstheme="majorBidi"/>
        </w:rPr>
      </w:pPr>
      <w:r>
        <w:rPr>
          <w:noProof/>
        </w:rPr>
        <w:lastRenderedPageBreak/>
        <w:drawing>
          <wp:inline distT="0" distB="0" distL="0" distR="0" wp14:anchorId="574F4D01" wp14:editId="184A0D96">
            <wp:extent cx="4540623" cy="2689412"/>
            <wp:effectExtent l="0" t="0" r="12700" b="15875"/>
            <wp:docPr id="1073883510" name="Chart 1">
              <a:extLst xmlns:a="http://schemas.openxmlformats.org/drawingml/2006/main">
                <a:ext uri="{FF2B5EF4-FFF2-40B4-BE49-F238E27FC236}">
                  <a16:creationId xmlns:a16="http://schemas.microsoft.com/office/drawing/2014/main" id="{00000000-0008-0000-03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6C53314" w14:textId="662557A4" w:rsidR="00170979" w:rsidRPr="000C4649" w:rsidRDefault="00AF0E67" w:rsidP="00AF0E67">
      <w:pPr>
        <w:jc w:val="center"/>
        <w:rPr>
          <w:rFonts w:asciiTheme="majorBidi" w:hAnsiTheme="majorBidi" w:cstheme="majorBidi"/>
          <w:sz w:val="20"/>
          <w:szCs w:val="20"/>
        </w:rPr>
      </w:pPr>
      <w:r w:rsidRPr="000C4649">
        <w:rPr>
          <w:rFonts w:asciiTheme="majorBidi" w:hAnsiTheme="majorBidi" w:cstheme="majorBidi"/>
          <w:sz w:val="20"/>
          <w:szCs w:val="20"/>
        </w:rPr>
        <w:t>Figure 3. Sperm concentration (M/ml) before and after supplementation</w:t>
      </w:r>
    </w:p>
    <w:p w14:paraId="46E63081" w14:textId="77777777" w:rsidR="00B64DC6" w:rsidRPr="00B64DC6" w:rsidRDefault="00B64DC6" w:rsidP="00B64DC6">
      <w:pPr>
        <w:pStyle w:val="NormalWeb"/>
        <w:jc w:val="both"/>
        <w:rPr>
          <w:sz w:val="22"/>
          <w:szCs w:val="22"/>
        </w:rPr>
      </w:pPr>
      <w:r w:rsidRPr="00B64DC6">
        <w:rPr>
          <w:sz w:val="22"/>
          <w:szCs w:val="22"/>
        </w:rPr>
        <w:t xml:space="preserve">With regard to sperm motility, considerable variability was observed across the study population. </w:t>
      </w:r>
      <w:r w:rsidRPr="00B64DC6">
        <w:rPr>
          <w:rStyle w:val="Strong"/>
          <w:rFonts w:eastAsiaTheme="majorEastAsia"/>
          <w:b w:val="0"/>
          <w:bCs w:val="0"/>
          <w:sz w:val="22"/>
          <w:szCs w:val="22"/>
        </w:rPr>
        <w:t>Total motility (%)</w:t>
      </w:r>
      <w:r w:rsidRPr="00B64DC6">
        <w:rPr>
          <w:b/>
          <w:bCs/>
          <w:sz w:val="22"/>
          <w:szCs w:val="22"/>
        </w:rPr>
        <w:t xml:space="preserve"> </w:t>
      </w:r>
      <w:r w:rsidRPr="00B64DC6">
        <w:rPr>
          <w:sz w:val="22"/>
          <w:szCs w:val="22"/>
        </w:rPr>
        <w:t xml:space="preserve">demonstrated a wide range, reflecting notable differences in overall sperm movement among samples. </w:t>
      </w:r>
      <w:r w:rsidRPr="00B64DC6">
        <w:rPr>
          <w:rStyle w:val="Strong"/>
          <w:rFonts w:eastAsiaTheme="majorEastAsia"/>
          <w:b w:val="0"/>
          <w:bCs w:val="0"/>
          <w:sz w:val="22"/>
          <w:szCs w:val="22"/>
        </w:rPr>
        <w:t>Progressive motility (%)</w:t>
      </w:r>
      <w:r w:rsidRPr="00B64DC6">
        <w:rPr>
          <w:sz w:val="22"/>
          <w:szCs w:val="22"/>
        </w:rPr>
        <w:t xml:space="preserve"> exhibited a similarly broad distribution, with several cases showing markedly reduced forward progression. </w:t>
      </w:r>
      <w:r w:rsidRPr="00B64DC6">
        <w:rPr>
          <w:rStyle w:val="Strong"/>
          <w:rFonts w:eastAsiaTheme="majorEastAsia"/>
          <w:b w:val="0"/>
          <w:bCs w:val="0"/>
          <w:sz w:val="22"/>
          <w:szCs w:val="22"/>
        </w:rPr>
        <w:t>Non-progressive motility (%)</w:t>
      </w:r>
      <w:r w:rsidRPr="00B64DC6">
        <w:rPr>
          <w:sz w:val="22"/>
          <w:szCs w:val="22"/>
        </w:rPr>
        <w:t xml:space="preserve"> was also variable, indicating differing degrees of limited sperm movement across participants. The proportion of </w:t>
      </w:r>
      <w:r w:rsidRPr="00B64DC6">
        <w:rPr>
          <w:rStyle w:val="Strong"/>
          <w:rFonts w:eastAsiaTheme="majorEastAsia"/>
          <w:b w:val="0"/>
          <w:bCs w:val="0"/>
          <w:sz w:val="22"/>
          <w:szCs w:val="22"/>
        </w:rPr>
        <w:t>immotile sperm (%)</w:t>
      </w:r>
      <w:r w:rsidRPr="00B64DC6">
        <w:rPr>
          <w:sz w:val="22"/>
          <w:szCs w:val="22"/>
        </w:rPr>
        <w:t xml:space="preserve"> was generally high at baseline, though the extent of </w:t>
      </w:r>
      <w:proofErr w:type="spellStart"/>
      <w:r w:rsidRPr="00B64DC6">
        <w:rPr>
          <w:sz w:val="22"/>
          <w:szCs w:val="22"/>
        </w:rPr>
        <w:t>immotility</w:t>
      </w:r>
      <w:proofErr w:type="spellEnd"/>
      <w:r w:rsidRPr="00B64DC6">
        <w:rPr>
          <w:sz w:val="22"/>
          <w:szCs w:val="22"/>
        </w:rPr>
        <w:t xml:space="preserve"> varied substantially among individuals. Assessment of </w:t>
      </w:r>
      <w:r w:rsidRPr="00B64DC6">
        <w:rPr>
          <w:rStyle w:val="Strong"/>
          <w:rFonts w:eastAsiaTheme="majorEastAsia"/>
          <w:b w:val="0"/>
          <w:bCs w:val="0"/>
          <w:sz w:val="22"/>
          <w:szCs w:val="22"/>
        </w:rPr>
        <w:t>sperm morphology (%)</w:t>
      </w:r>
      <w:r w:rsidRPr="00B64DC6">
        <w:rPr>
          <w:sz w:val="22"/>
          <w:szCs w:val="22"/>
        </w:rPr>
        <w:t xml:space="preserve"> revealed a broad spectrum of normal forms, with several samples showing markedly low percentages of morphologically normal spermatozoa. All measurements were obtained using standardized laboratory procedures, resulting in a comprehensive and internally consistent dataset capturing the full range of seminal characteristics within this infertile population.</w:t>
      </w:r>
    </w:p>
    <w:p w14:paraId="07DF95B7" w14:textId="77777777" w:rsidR="00B64DC6" w:rsidRPr="00B64DC6" w:rsidRDefault="00B64DC6" w:rsidP="00B64DC6">
      <w:pPr>
        <w:pStyle w:val="NormalWeb"/>
        <w:jc w:val="both"/>
        <w:rPr>
          <w:b/>
          <w:bCs/>
          <w:sz w:val="22"/>
          <w:szCs w:val="22"/>
        </w:rPr>
      </w:pPr>
      <w:r w:rsidRPr="00B64DC6">
        <w:rPr>
          <w:sz w:val="22"/>
          <w:szCs w:val="22"/>
        </w:rPr>
        <w:t xml:space="preserve">The figure presents the mean values (± standard error, SE) of key sperm motility and morphology parameters before and after supplementation. </w:t>
      </w:r>
      <w:r w:rsidRPr="00B64DC6">
        <w:rPr>
          <w:rStyle w:val="Strong"/>
          <w:rFonts w:eastAsiaTheme="majorEastAsia"/>
          <w:b w:val="0"/>
          <w:bCs w:val="0"/>
          <w:sz w:val="22"/>
          <w:szCs w:val="22"/>
        </w:rPr>
        <w:t>Total motility (%)</w:t>
      </w:r>
      <w:r w:rsidRPr="00B64DC6">
        <w:rPr>
          <w:sz w:val="22"/>
          <w:szCs w:val="22"/>
        </w:rPr>
        <w:t xml:space="preserve"> increased from </w:t>
      </w:r>
      <w:r w:rsidRPr="00B64DC6">
        <w:rPr>
          <w:rStyle w:val="Strong"/>
          <w:rFonts w:eastAsiaTheme="majorEastAsia"/>
          <w:b w:val="0"/>
          <w:bCs w:val="0"/>
          <w:sz w:val="22"/>
          <w:szCs w:val="22"/>
        </w:rPr>
        <w:t>30.64 ± 1.17</w:t>
      </w:r>
      <w:r w:rsidRPr="00B64DC6">
        <w:rPr>
          <w:sz w:val="22"/>
          <w:szCs w:val="22"/>
        </w:rPr>
        <w:t xml:space="preserve"> at baseline to </w:t>
      </w:r>
      <w:r w:rsidRPr="00B64DC6">
        <w:rPr>
          <w:rStyle w:val="Strong"/>
          <w:rFonts w:eastAsiaTheme="majorEastAsia"/>
          <w:b w:val="0"/>
          <w:bCs w:val="0"/>
          <w:sz w:val="22"/>
          <w:szCs w:val="22"/>
        </w:rPr>
        <w:t>62.31 ± 0.69</w:t>
      </w:r>
      <w:r w:rsidRPr="00B64DC6">
        <w:rPr>
          <w:sz w:val="22"/>
          <w:szCs w:val="22"/>
        </w:rPr>
        <w:t xml:space="preserve"> post-intervention. </w:t>
      </w:r>
      <w:r w:rsidRPr="00B64DC6">
        <w:rPr>
          <w:rStyle w:val="Strong"/>
          <w:rFonts w:eastAsiaTheme="majorEastAsia"/>
          <w:b w:val="0"/>
          <w:bCs w:val="0"/>
          <w:sz w:val="22"/>
          <w:szCs w:val="22"/>
        </w:rPr>
        <w:t>Progressive motility (%)</w:t>
      </w:r>
      <w:r w:rsidRPr="00B64DC6">
        <w:rPr>
          <w:sz w:val="22"/>
          <w:szCs w:val="22"/>
        </w:rPr>
        <w:t xml:space="preserve"> increased from </w:t>
      </w:r>
      <w:r w:rsidRPr="00B64DC6">
        <w:rPr>
          <w:rStyle w:val="Strong"/>
          <w:rFonts w:eastAsiaTheme="majorEastAsia"/>
          <w:b w:val="0"/>
          <w:bCs w:val="0"/>
          <w:sz w:val="22"/>
          <w:szCs w:val="22"/>
        </w:rPr>
        <w:t>17.73 ± 0.84</w:t>
      </w:r>
      <w:r w:rsidRPr="00B64DC6">
        <w:rPr>
          <w:b/>
          <w:bCs/>
          <w:sz w:val="22"/>
          <w:szCs w:val="22"/>
        </w:rPr>
        <w:t xml:space="preserve"> </w:t>
      </w:r>
      <w:r w:rsidRPr="00B64DC6">
        <w:rPr>
          <w:sz w:val="22"/>
          <w:szCs w:val="22"/>
        </w:rPr>
        <w:t>to</w:t>
      </w:r>
      <w:r w:rsidRPr="00B64DC6">
        <w:rPr>
          <w:b/>
          <w:bCs/>
          <w:sz w:val="22"/>
          <w:szCs w:val="22"/>
        </w:rPr>
        <w:t xml:space="preserve"> </w:t>
      </w:r>
      <w:r w:rsidRPr="00B64DC6">
        <w:rPr>
          <w:rStyle w:val="Strong"/>
          <w:rFonts w:eastAsiaTheme="majorEastAsia"/>
          <w:b w:val="0"/>
          <w:bCs w:val="0"/>
          <w:sz w:val="22"/>
          <w:szCs w:val="22"/>
        </w:rPr>
        <w:t>42.95 ± 0.68</w:t>
      </w:r>
      <w:r w:rsidRPr="00B64DC6">
        <w:rPr>
          <w:sz w:val="22"/>
          <w:szCs w:val="22"/>
        </w:rPr>
        <w:t xml:space="preserve">, while </w:t>
      </w:r>
      <w:r w:rsidRPr="00B64DC6">
        <w:rPr>
          <w:rStyle w:val="Strong"/>
          <w:rFonts w:eastAsiaTheme="majorEastAsia"/>
          <w:b w:val="0"/>
          <w:bCs w:val="0"/>
          <w:sz w:val="22"/>
          <w:szCs w:val="22"/>
        </w:rPr>
        <w:t>non-progressive motility (%)</w:t>
      </w:r>
      <w:r w:rsidRPr="00B64DC6">
        <w:rPr>
          <w:sz w:val="22"/>
          <w:szCs w:val="22"/>
        </w:rPr>
        <w:t xml:space="preserve"> changed from </w:t>
      </w:r>
      <w:r w:rsidRPr="00B64DC6">
        <w:rPr>
          <w:rStyle w:val="Strong"/>
          <w:rFonts w:eastAsiaTheme="majorEastAsia"/>
          <w:b w:val="0"/>
          <w:bCs w:val="0"/>
          <w:sz w:val="22"/>
          <w:szCs w:val="22"/>
        </w:rPr>
        <w:t>12.91 ± 0.34</w:t>
      </w:r>
      <w:r w:rsidRPr="00B64DC6">
        <w:rPr>
          <w:sz w:val="22"/>
          <w:szCs w:val="22"/>
        </w:rPr>
        <w:t xml:space="preserve"> to </w:t>
      </w:r>
      <w:r w:rsidRPr="00B64DC6">
        <w:rPr>
          <w:rStyle w:val="Strong"/>
          <w:rFonts w:eastAsiaTheme="majorEastAsia"/>
          <w:b w:val="0"/>
          <w:bCs w:val="0"/>
          <w:sz w:val="22"/>
          <w:szCs w:val="22"/>
        </w:rPr>
        <w:t>19.36 ± 0.16</w:t>
      </w:r>
      <w:r w:rsidRPr="00B64DC6">
        <w:rPr>
          <w:sz w:val="22"/>
          <w:szCs w:val="22"/>
        </w:rPr>
        <w:t xml:space="preserve">. The proportion of </w:t>
      </w:r>
      <w:r w:rsidRPr="00B64DC6">
        <w:rPr>
          <w:rStyle w:val="Strong"/>
          <w:rFonts w:eastAsiaTheme="majorEastAsia"/>
          <w:b w:val="0"/>
          <w:bCs w:val="0"/>
          <w:sz w:val="22"/>
          <w:szCs w:val="22"/>
        </w:rPr>
        <w:t>immotile sperm (%)</w:t>
      </w:r>
      <w:r w:rsidRPr="00B64DC6">
        <w:rPr>
          <w:b/>
          <w:bCs/>
          <w:sz w:val="22"/>
          <w:szCs w:val="22"/>
        </w:rPr>
        <w:t xml:space="preserve"> </w:t>
      </w:r>
      <w:r w:rsidRPr="00B64DC6">
        <w:rPr>
          <w:sz w:val="22"/>
          <w:szCs w:val="22"/>
        </w:rPr>
        <w:t xml:space="preserve">decreased from </w:t>
      </w:r>
      <w:r w:rsidRPr="00B64DC6">
        <w:rPr>
          <w:rStyle w:val="Strong"/>
          <w:rFonts w:eastAsiaTheme="majorEastAsia"/>
          <w:b w:val="0"/>
          <w:bCs w:val="0"/>
          <w:sz w:val="22"/>
          <w:szCs w:val="22"/>
        </w:rPr>
        <w:t>69.36 ± 1.17</w:t>
      </w:r>
      <w:r w:rsidRPr="00B64DC6">
        <w:rPr>
          <w:sz w:val="22"/>
          <w:szCs w:val="22"/>
        </w:rPr>
        <w:t xml:space="preserve"> to </w:t>
      </w:r>
      <w:r w:rsidRPr="00B64DC6">
        <w:rPr>
          <w:rStyle w:val="Strong"/>
          <w:rFonts w:eastAsiaTheme="majorEastAsia"/>
          <w:b w:val="0"/>
          <w:bCs w:val="0"/>
          <w:sz w:val="22"/>
          <w:szCs w:val="22"/>
        </w:rPr>
        <w:t>37.48 ± 0.67</w:t>
      </w:r>
      <w:r w:rsidRPr="00B64DC6">
        <w:rPr>
          <w:sz w:val="22"/>
          <w:szCs w:val="22"/>
        </w:rPr>
        <w:t xml:space="preserve">, and </w:t>
      </w:r>
      <w:r w:rsidRPr="00B64DC6">
        <w:rPr>
          <w:rStyle w:val="Strong"/>
          <w:rFonts w:eastAsiaTheme="majorEastAsia"/>
          <w:b w:val="0"/>
          <w:bCs w:val="0"/>
          <w:sz w:val="22"/>
          <w:szCs w:val="22"/>
        </w:rPr>
        <w:t>sperm morphology (%)</w:t>
      </w:r>
      <w:r w:rsidRPr="00B64DC6">
        <w:rPr>
          <w:sz w:val="22"/>
          <w:szCs w:val="22"/>
        </w:rPr>
        <w:t xml:space="preserve"> increased from </w:t>
      </w:r>
      <w:r w:rsidRPr="00B64DC6">
        <w:rPr>
          <w:rStyle w:val="Strong"/>
          <w:rFonts w:eastAsiaTheme="majorEastAsia"/>
          <w:b w:val="0"/>
          <w:bCs w:val="0"/>
          <w:sz w:val="22"/>
          <w:szCs w:val="22"/>
        </w:rPr>
        <w:t>2.50 ± 0.12</w:t>
      </w:r>
      <w:r w:rsidRPr="00B64DC6">
        <w:rPr>
          <w:b/>
          <w:bCs/>
          <w:sz w:val="22"/>
          <w:szCs w:val="22"/>
        </w:rPr>
        <w:t xml:space="preserve"> </w:t>
      </w:r>
      <w:r w:rsidRPr="00B64DC6">
        <w:rPr>
          <w:sz w:val="22"/>
          <w:szCs w:val="22"/>
        </w:rPr>
        <w:t>to</w:t>
      </w:r>
      <w:r w:rsidRPr="00B64DC6">
        <w:rPr>
          <w:b/>
          <w:bCs/>
          <w:sz w:val="22"/>
          <w:szCs w:val="22"/>
        </w:rPr>
        <w:t xml:space="preserve"> </w:t>
      </w:r>
      <w:r w:rsidRPr="00B64DC6">
        <w:rPr>
          <w:rStyle w:val="Strong"/>
          <w:rFonts w:eastAsiaTheme="majorEastAsia"/>
          <w:b w:val="0"/>
          <w:bCs w:val="0"/>
          <w:sz w:val="22"/>
          <w:szCs w:val="22"/>
        </w:rPr>
        <w:t>5.33 ± 0.11</w:t>
      </w:r>
      <w:r w:rsidRPr="00B64DC6">
        <w:rPr>
          <w:b/>
          <w:bCs/>
          <w:sz w:val="22"/>
          <w:szCs w:val="22"/>
        </w:rPr>
        <w:t xml:space="preserve"> </w:t>
      </w:r>
      <w:r w:rsidRPr="00B64DC6">
        <w:rPr>
          <w:sz w:val="22"/>
          <w:szCs w:val="22"/>
        </w:rPr>
        <w:t>(Fig. 4)</w:t>
      </w:r>
    </w:p>
    <w:p w14:paraId="318CDAA3" w14:textId="77777777" w:rsidR="00170979" w:rsidRDefault="00170979" w:rsidP="005E550F">
      <w:pPr>
        <w:jc w:val="both"/>
        <w:rPr>
          <w:rFonts w:asciiTheme="majorBidi" w:hAnsiTheme="majorBidi" w:cstheme="majorBidi"/>
        </w:rPr>
      </w:pPr>
    </w:p>
    <w:p w14:paraId="1E51C3B2" w14:textId="70C107F8" w:rsidR="000C4649" w:rsidRDefault="000C4649" w:rsidP="000C4649">
      <w:pPr>
        <w:jc w:val="center"/>
        <w:rPr>
          <w:rFonts w:asciiTheme="majorBidi" w:hAnsiTheme="majorBidi" w:cstheme="majorBidi"/>
        </w:rPr>
      </w:pPr>
      <w:r>
        <w:rPr>
          <w:noProof/>
        </w:rPr>
        <w:lastRenderedPageBreak/>
        <w:drawing>
          <wp:inline distT="0" distB="0" distL="0" distR="0" wp14:anchorId="385BAD48" wp14:editId="37CE1893">
            <wp:extent cx="4536142" cy="2689411"/>
            <wp:effectExtent l="0" t="0" r="17145" b="15875"/>
            <wp:docPr id="1223026112" name="Chart 1">
              <a:extLst xmlns:a="http://schemas.openxmlformats.org/drawingml/2006/main">
                <a:ext uri="{FF2B5EF4-FFF2-40B4-BE49-F238E27FC236}">
                  <a16:creationId xmlns:a16="http://schemas.microsoft.com/office/drawing/2014/main" id="{00000000-0008-0000-03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CA04584" w14:textId="453BF1C9" w:rsidR="000C4649" w:rsidRPr="000C4649" w:rsidRDefault="000C4649" w:rsidP="000C4649">
      <w:pPr>
        <w:jc w:val="center"/>
        <w:rPr>
          <w:rFonts w:asciiTheme="majorBidi" w:hAnsiTheme="majorBidi" w:cstheme="majorBidi"/>
          <w:b/>
          <w:bCs/>
          <w:sz w:val="18"/>
          <w:szCs w:val="18"/>
        </w:rPr>
      </w:pPr>
      <w:r w:rsidRPr="000C4649">
        <w:rPr>
          <w:rFonts w:asciiTheme="majorBidi" w:hAnsiTheme="majorBidi" w:cstheme="majorBidi"/>
          <w:sz w:val="20"/>
          <w:szCs w:val="20"/>
        </w:rPr>
        <w:t>Figure 4. Sperm motility and morphology parameters before and after supplementation</w:t>
      </w:r>
    </w:p>
    <w:p w14:paraId="73E7DBA5" w14:textId="10674DB3" w:rsidR="00252B62" w:rsidRDefault="00252B62" w:rsidP="00470922">
      <w:pPr>
        <w:jc w:val="both"/>
        <w:rPr>
          <w:rFonts w:asciiTheme="majorBidi" w:hAnsiTheme="majorBidi" w:cstheme="majorBidi"/>
          <w:b/>
          <w:bCs/>
          <w:sz w:val="22"/>
          <w:szCs w:val="22"/>
          <w:rtl/>
        </w:rPr>
      </w:pPr>
      <w:r w:rsidRPr="001E10EC">
        <w:rPr>
          <w:rFonts w:asciiTheme="majorBidi" w:hAnsiTheme="majorBidi" w:cstheme="majorBidi"/>
          <w:b/>
          <w:bCs/>
          <w:sz w:val="22"/>
          <w:szCs w:val="22"/>
        </w:rPr>
        <w:t>Discussion</w:t>
      </w:r>
    </w:p>
    <w:p w14:paraId="2AC45F67" w14:textId="77777777" w:rsidR="00B64DC6" w:rsidRPr="00B64DC6" w:rsidRDefault="00B64DC6" w:rsidP="00B64DC6">
      <w:pPr>
        <w:pStyle w:val="NormalWeb"/>
        <w:jc w:val="both"/>
        <w:rPr>
          <w:sz w:val="22"/>
          <w:szCs w:val="22"/>
        </w:rPr>
      </w:pPr>
      <w:r w:rsidRPr="00B64DC6">
        <w:rPr>
          <w:sz w:val="22"/>
          <w:szCs w:val="22"/>
        </w:rPr>
        <w:t>The present study investigated the effects of a multimodal supplementation on seminal parameters in 100 infertile men, focusing on semen volume, pH, sperm concentration, motility, morphology, and round cell counts. The results demonstrate significant improvements across nearly all evaluated parameters, suggesting a positive influence on spermatogenic function and overall sperm quality.</w:t>
      </w:r>
    </w:p>
    <w:p w14:paraId="4A8CC6DD" w14:textId="77777777" w:rsidR="00B64DC6" w:rsidRPr="00B64DC6" w:rsidRDefault="00B64DC6" w:rsidP="00B64DC6">
      <w:pPr>
        <w:pStyle w:val="NormalWeb"/>
        <w:jc w:val="both"/>
        <w:rPr>
          <w:sz w:val="22"/>
          <w:szCs w:val="22"/>
        </w:rPr>
      </w:pPr>
      <w:r w:rsidRPr="00B64DC6">
        <w:rPr>
          <w:rStyle w:val="Strong"/>
          <w:rFonts w:eastAsiaTheme="majorEastAsia"/>
          <w:b w:val="0"/>
          <w:bCs w:val="0"/>
          <w:sz w:val="22"/>
          <w:szCs w:val="22"/>
        </w:rPr>
        <w:t>Semen volume</w:t>
      </w:r>
      <w:r w:rsidRPr="00B64DC6">
        <w:rPr>
          <w:sz w:val="22"/>
          <w:szCs w:val="22"/>
        </w:rPr>
        <w:t xml:space="preserve"> increased from 2.46 ± 0.12 ml at baseline to 3.20 ± 0.15 ml post-intervention, indicating enhanced seminal gland function and a potentially more favorable seminal plasma environment. Semen pH also showed a modest increase (7.20 ± 0.35 → 7.37 ± 0.36), which may contribute to maintaining sperm viability and motility. Improvements in </w:t>
      </w:r>
      <w:r w:rsidRPr="00B64DC6">
        <w:rPr>
          <w:rStyle w:val="Strong"/>
          <w:rFonts w:eastAsiaTheme="majorEastAsia"/>
          <w:b w:val="0"/>
          <w:bCs w:val="0"/>
          <w:sz w:val="22"/>
          <w:szCs w:val="22"/>
        </w:rPr>
        <w:t>sperm concentration</w:t>
      </w:r>
      <w:r w:rsidRPr="00B64DC6">
        <w:rPr>
          <w:sz w:val="22"/>
          <w:szCs w:val="22"/>
        </w:rPr>
        <w:t xml:space="preserve"> were particularly pronounced, rising from 13.88 ± 0.89 M/ml to 42.86 ± 1.35 M/ml. These findings are in line with previous studies demonstrating that targeted antioxidant and micronutrient supplementation can improve sperm counts in men with oxidative stress or nutritional deficiencies (Agarwal et al., 2023; Ahmad et al., 2018; Lee et al., 2020).</w:t>
      </w:r>
    </w:p>
    <w:p w14:paraId="15B5DAF6" w14:textId="77777777" w:rsidR="00B64DC6" w:rsidRPr="00B64DC6" w:rsidRDefault="00B64DC6" w:rsidP="00B64DC6">
      <w:pPr>
        <w:pStyle w:val="NormalWeb"/>
        <w:jc w:val="both"/>
        <w:rPr>
          <w:sz w:val="22"/>
          <w:szCs w:val="22"/>
        </w:rPr>
      </w:pPr>
      <w:r w:rsidRPr="00B64DC6">
        <w:rPr>
          <w:sz w:val="22"/>
          <w:szCs w:val="22"/>
        </w:rPr>
        <w:t xml:space="preserve">Significant enhancements were also observed in </w:t>
      </w:r>
      <w:r w:rsidRPr="00B64DC6">
        <w:rPr>
          <w:rStyle w:val="Strong"/>
          <w:rFonts w:eastAsiaTheme="majorEastAsia"/>
          <w:b w:val="0"/>
          <w:bCs w:val="0"/>
          <w:sz w:val="22"/>
          <w:szCs w:val="22"/>
        </w:rPr>
        <w:t>sperm motility</w:t>
      </w:r>
      <w:r w:rsidRPr="00B64DC6">
        <w:rPr>
          <w:sz w:val="22"/>
          <w:szCs w:val="22"/>
        </w:rPr>
        <w:t xml:space="preserve"> and </w:t>
      </w:r>
      <w:r w:rsidRPr="00B64DC6">
        <w:rPr>
          <w:rStyle w:val="Strong"/>
          <w:rFonts w:eastAsiaTheme="majorEastAsia"/>
          <w:b w:val="0"/>
          <w:bCs w:val="0"/>
          <w:sz w:val="22"/>
          <w:szCs w:val="22"/>
        </w:rPr>
        <w:t>morphology</w:t>
      </w:r>
      <w:r w:rsidRPr="00B64DC6">
        <w:rPr>
          <w:b/>
          <w:bCs/>
          <w:sz w:val="22"/>
          <w:szCs w:val="22"/>
        </w:rPr>
        <w:t>.</w:t>
      </w:r>
      <w:r w:rsidRPr="00B64DC6">
        <w:rPr>
          <w:sz w:val="22"/>
          <w:szCs w:val="22"/>
        </w:rPr>
        <w:t xml:space="preserve"> Total motility increased from 30.64 ± 1.17% to 62.31 ± 0.69%, progressive motility from 17.73 ± 0.84% to 42.95 ± 0.68%, and non-progressive motility from 12.91 ± 0.34% to 19.36 ± 0.16%. The proportion of immotile sperm decreased from 69.36 ± 1.17% to 37.48 ± 0.67%, and sperm morphology improved from 2.50 ± 0.12% to 5.33 ± 0.11%. These improvements suggest enhanced mitochondrial activity, reduced oxidative damage, and better spermatogenic quality, consistent with the proposed mechanisms of antioxidants, trace elements, and adaptogens such as Ashwagandha and Korean ginseng (</w:t>
      </w:r>
      <w:proofErr w:type="spellStart"/>
      <w:r w:rsidRPr="00B64DC6">
        <w:rPr>
          <w:sz w:val="22"/>
          <w:szCs w:val="22"/>
        </w:rPr>
        <w:t>Ambiye</w:t>
      </w:r>
      <w:proofErr w:type="spellEnd"/>
      <w:r w:rsidRPr="00B64DC6">
        <w:rPr>
          <w:sz w:val="22"/>
          <w:szCs w:val="22"/>
        </w:rPr>
        <w:t xml:space="preserve"> et al., 2013; Agarwal et al., 2023; Showell et al., 2018).</w:t>
      </w:r>
    </w:p>
    <w:p w14:paraId="7C9DDE90" w14:textId="77777777" w:rsidR="00B64DC6" w:rsidRPr="00B64DC6" w:rsidRDefault="00B64DC6" w:rsidP="00B64DC6">
      <w:pPr>
        <w:pStyle w:val="NormalWeb"/>
        <w:jc w:val="both"/>
        <w:rPr>
          <w:sz w:val="22"/>
          <w:szCs w:val="22"/>
        </w:rPr>
      </w:pPr>
      <w:r w:rsidRPr="00B64DC6">
        <w:rPr>
          <w:sz w:val="22"/>
          <w:szCs w:val="22"/>
        </w:rPr>
        <w:t xml:space="preserve">Furthermore, </w:t>
      </w:r>
      <w:r w:rsidRPr="00B64DC6">
        <w:rPr>
          <w:rStyle w:val="Strong"/>
          <w:rFonts w:eastAsiaTheme="majorEastAsia"/>
          <w:b w:val="0"/>
          <w:bCs w:val="0"/>
          <w:sz w:val="22"/>
          <w:szCs w:val="22"/>
        </w:rPr>
        <w:t>round cell counts</w:t>
      </w:r>
      <w:r w:rsidRPr="00B64DC6">
        <w:rPr>
          <w:sz w:val="22"/>
          <w:szCs w:val="22"/>
        </w:rPr>
        <w:t xml:space="preserve"> decreased substantially, reflecting a potential reduction in immature germ cells or leukocyte-related oxidative stress. This aligns with studies suggesting that antioxidant supplementation can modulate the testicular microenvironment and decrease oxidative and inflammatory </w:t>
      </w:r>
      <w:r w:rsidRPr="00B64DC6">
        <w:rPr>
          <w:sz w:val="22"/>
          <w:szCs w:val="22"/>
        </w:rPr>
        <w:lastRenderedPageBreak/>
        <w:t xml:space="preserve">insults (Saleh et al., 2024; Abbasi et al., 2020). The observed improvements across multiple seminal parameters may also relate to modulation of the </w:t>
      </w:r>
      <w:r w:rsidRPr="00A241F7">
        <w:rPr>
          <w:rStyle w:val="Strong"/>
          <w:rFonts w:eastAsiaTheme="majorEastAsia"/>
          <w:b w:val="0"/>
          <w:bCs w:val="0"/>
          <w:sz w:val="22"/>
          <w:szCs w:val="22"/>
        </w:rPr>
        <w:t>gut–testis axis</w:t>
      </w:r>
      <w:r w:rsidRPr="00B64DC6">
        <w:rPr>
          <w:sz w:val="22"/>
          <w:szCs w:val="22"/>
        </w:rPr>
        <w:t>, as probiotics included in the supplement could enhance nutrient absorption, reduce systemic inflammation, and indirectly support spermatogenesis (De Oliveira et al., 2024; Kaltsas et al., 2025).</w:t>
      </w:r>
    </w:p>
    <w:p w14:paraId="4F703A4A" w14:textId="77777777" w:rsidR="00B64DC6" w:rsidRPr="00B64DC6" w:rsidRDefault="00B64DC6" w:rsidP="00B64DC6">
      <w:pPr>
        <w:pStyle w:val="NormalWeb"/>
        <w:jc w:val="both"/>
        <w:rPr>
          <w:sz w:val="22"/>
          <w:szCs w:val="22"/>
        </w:rPr>
      </w:pPr>
      <w:r w:rsidRPr="00B64DC6">
        <w:rPr>
          <w:sz w:val="22"/>
          <w:szCs w:val="22"/>
        </w:rPr>
        <w:t>It is important to note, however, that evidence from clinical trials regarding the efficacy of antioxidant and micronutrient supplementation remains heterogeneous. Meta-analyses and systematic reviews indicate that antioxidants may improve some semen parameters such as motility, concentration, and morphology, particularly in men with oxidative stress or nutritional deficiencies (Agarwal et al., 2023; Saleh et al., 2024; Ahmad et al., 2018). Conversely, large randomized controlled trials such as the MOXI study have reported no significant improvements in semen quality or pregnancy outcomes following antioxidant supplementation in infertile men (Coughlan et al., 2020). Such discrepancies highlight the influence of study design, population characteristics, supplementation composition, and duration of intervention on observed outcomes.</w:t>
      </w:r>
    </w:p>
    <w:p w14:paraId="716DA5D7" w14:textId="62191A37" w:rsidR="00252B62" w:rsidRPr="00A241F7" w:rsidRDefault="00B64DC6" w:rsidP="00A241F7">
      <w:pPr>
        <w:pStyle w:val="NormalWeb"/>
        <w:jc w:val="both"/>
        <w:rPr>
          <w:sz w:val="22"/>
          <w:szCs w:val="22"/>
        </w:rPr>
      </w:pPr>
      <w:r w:rsidRPr="00B64DC6">
        <w:rPr>
          <w:sz w:val="22"/>
          <w:szCs w:val="22"/>
        </w:rPr>
        <w:t>In summary, the present findings demonstrate that multimodal supplementation can lead to measurable improvements in semen volume, pH, sperm concentration, motility, morphology, and round cell counts in infertile men. While these results support the potential utility of targeted nutritional and antioxidant interventions, further randomized, placebo-controlled studies with long-term follow-up are warranted to confirm efficacy and determine their impact on clinical fertility outcomes</w:t>
      </w:r>
      <w:r w:rsidRPr="00B64DC6">
        <w:rPr>
          <w:rFonts w:hint="cs"/>
          <w:sz w:val="22"/>
          <w:szCs w:val="22"/>
          <w:rtl/>
        </w:rPr>
        <w:t>.</w:t>
      </w:r>
    </w:p>
    <w:p w14:paraId="06CF4DDC" w14:textId="77777777" w:rsidR="00252B62" w:rsidRDefault="00252B62" w:rsidP="00252B62">
      <w:pPr>
        <w:spacing w:after="0" w:line="232" w:lineRule="auto"/>
        <w:jc w:val="both"/>
        <w:rPr>
          <w:rFonts w:asciiTheme="majorBidi" w:eastAsia="SimSun" w:hAnsiTheme="majorBidi" w:cstheme="majorBidi"/>
          <w:b/>
          <w:bCs/>
          <w:sz w:val="22"/>
          <w:szCs w:val="22"/>
          <w:rtl/>
          <w:lang w:eastAsia="zh-CN"/>
        </w:rPr>
      </w:pPr>
      <w:r w:rsidRPr="001E10EC">
        <w:rPr>
          <w:rFonts w:asciiTheme="majorBidi" w:eastAsia="SimSun" w:hAnsiTheme="majorBidi" w:cstheme="majorBidi"/>
          <w:b/>
          <w:bCs/>
          <w:sz w:val="22"/>
          <w:szCs w:val="22"/>
          <w:lang w:eastAsia="zh-CN"/>
        </w:rPr>
        <w:t>Conclusions</w:t>
      </w:r>
    </w:p>
    <w:p w14:paraId="0236C57E" w14:textId="3C5A220A" w:rsidR="00A241F7" w:rsidRDefault="00A241F7" w:rsidP="00A241F7">
      <w:pPr>
        <w:pStyle w:val="NormalWeb"/>
        <w:jc w:val="both"/>
      </w:pPr>
      <w:r>
        <w:t xml:space="preserve">In this study, multimodal supplementation was associated with significant improvements in key semen parameters among 100 infertile men. </w:t>
      </w:r>
      <w:r w:rsidRPr="00A241F7">
        <w:rPr>
          <w:rStyle w:val="Strong"/>
          <w:rFonts w:eastAsiaTheme="majorEastAsia"/>
          <w:b w:val="0"/>
          <w:bCs w:val="0"/>
        </w:rPr>
        <w:t>Semen volume, pH, sperm concentration, total and progressive motility, sperm morphology, and round cell count</w:t>
      </w:r>
      <w:r>
        <w:t xml:space="preserve"> all demonstrated measurable enhancements following the intervention. These findings suggest that targeted supplementation incorporating antioxidants, micronutrients, adaptogens, and probiotics may support spermatogenic function, improve sperm quality, and create a more favorable testicular and seminal microenvironment.</w:t>
      </w:r>
    </w:p>
    <w:p w14:paraId="0A4313E5" w14:textId="77777777" w:rsidR="00A241F7" w:rsidRDefault="00A241F7" w:rsidP="00A241F7">
      <w:pPr>
        <w:pStyle w:val="NormalWeb"/>
        <w:jc w:val="both"/>
      </w:pPr>
      <w:r>
        <w:t xml:space="preserve">While the results are promising, further </w:t>
      </w:r>
      <w:r w:rsidRPr="00A241F7">
        <w:rPr>
          <w:rStyle w:val="Strong"/>
          <w:rFonts w:eastAsiaTheme="majorEastAsia"/>
          <w:b w:val="0"/>
          <w:bCs w:val="0"/>
        </w:rPr>
        <w:t>randomized, placebo-controlled trials</w:t>
      </w:r>
      <w:r>
        <w:t xml:space="preserve"> with larger sample sizes and long-term follow-up are required to confirm these effects and evaluate their impact on clinical fertility outcomes, including pregnancy and live birth rates. Nonetheless, the present study provides evidence that multimodal nutritional interventions could serve as a valuable adjunctive strategy in the management of male infertility</w:t>
      </w:r>
    </w:p>
    <w:p w14:paraId="02C4D9FA" w14:textId="77777777" w:rsidR="00A241F7" w:rsidRPr="001E10EC" w:rsidRDefault="00A241F7" w:rsidP="00252B62">
      <w:pPr>
        <w:spacing w:after="0" w:line="232" w:lineRule="auto"/>
        <w:jc w:val="both"/>
        <w:rPr>
          <w:rFonts w:asciiTheme="majorBidi" w:eastAsia="SimSun" w:hAnsiTheme="majorBidi" w:cstheme="majorBidi"/>
          <w:b/>
          <w:bCs/>
          <w:sz w:val="22"/>
          <w:szCs w:val="22"/>
          <w:lang w:eastAsia="zh-CN"/>
        </w:rPr>
      </w:pPr>
    </w:p>
    <w:p w14:paraId="614C1A22" w14:textId="77777777" w:rsidR="00146977" w:rsidRPr="001E10EC" w:rsidRDefault="00146977" w:rsidP="00146977">
      <w:pPr>
        <w:bidi/>
        <w:jc w:val="both"/>
        <w:rPr>
          <w:rFonts w:cs="B Nazanin"/>
          <w:sz w:val="22"/>
          <w:szCs w:val="22"/>
        </w:rPr>
      </w:pPr>
    </w:p>
    <w:p w14:paraId="15B68F1F" w14:textId="77777777" w:rsidR="00146977" w:rsidRPr="001E10EC" w:rsidRDefault="00146977" w:rsidP="00146977">
      <w:pPr>
        <w:bidi/>
        <w:jc w:val="both"/>
        <w:rPr>
          <w:rFonts w:cs="B Nazanin"/>
          <w:sz w:val="22"/>
          <w:szCs w:val="22"/>
        </w:rPr>
      </w:pPr>
    </w:p>
    <w:p w14:paraId="08CE3F11" w14:textId="77777777" w:rsidR="00146977" w:rsidRPr="001E10EC" w:rsidRDefault="00146977" w:rsidP="00146977">
      <w:pPr>
        <w:bidi/>
        <w:jc w:val="both"/>
        <w:rPr>
          <w:rFonts w:cs="B Nazanin"/>
          <w:sz w:val="22"/>
          <w:szCs w:val="22"/>
        </w:rPr>
      </w:pPr>
    </w:p>
    <w:p w14:paraId="6508B4FB" w14:textId="77777777" w:rsidR="00146977" w:rsidRPr="001E10EC" w:rsidRDefault="00146977" w:rsidP="00146977">
      <w:pPr>
        <w:bidi/>
        <w:jc w:val="both"/>
        <w:rPr>
          <w:rFonts w:cs="B Nazanin"/>
          <w:sz w:val="22"/>
          <w:szCs w:val="22"/>
        </w:rPr>
      </w:pPr>
    </w:p>
    <w:p w14:paraId="0A415EC4" w14:textId="77777777" w:rsidR="00146977" w:rsidRPr="001E10EC" w:rsidRDefault="00146977" w:rsidP="00146977">
      <w:pPr>
        <w:bidi/>
        <w:jc w:val="both"/>
        <w:rPr>
          <w:rFonts w:cs="B Nazanin"/>
          <w:sz w:val="22"/>
          <w:szCs w:val="22"/>
        </w:rPr>
      </w:pPr>
    </w:p>
    <w:p w14:paraId="23CD31CD" w14:textId="77777777" w:rsidR="00146977" w:rsidRPr="001E10EC" w:rsidRDefault="00146977" w:rsidP="00146977">
      <w:pPr>
        <w:bidi/>
        <w:jc w:val="both"/>
        <w:rPr>
          <w:rFonts w:cs="B Nazanin"/>
          <w:sz w:val="22"/>
          <w:szCs w:val="22"/>
        </w:rPr>
      </w:pPr>
    </w:p>
    <w:p w14:paraId="7C99C5F6" w14:textId="49CE17D8" w:rsidR="008C58F7" w:rsidRDefault="00146977" w:rsidP="008C58F7">
      <w:pPr>
        <w:bidi/>
        <w:jc w:val="right"/>
        <w:rPr>
          <w:rFonts w:asciiTheme="majorBidi" w:hAnsiTheme="majorBidi" w:cstheme="majorBidi"/>
          <w:b/>
          <w:bCs/>
          <w:sz w:val="22"/>
          <w:szCs w:val="22"/>
        </w:rPr>
      </w:pPr>
      <w:r w:rsidRPr="001E10EC">
        <w:rPr>
          <w:rFonts w:asciiTheme="majorBidi" w:hAnsiTheme="majorBidi" w:cstheme="majorBidi"/>
          <w:b/>
          <w:bCs/>
          <w:sz w:val="22"/>
          <w:szCs w:val="22"/>
        </w:rPr>
        <w:t>Referenc</w:t>
      </w:r>
      <w:r w:rsidR="00A10951" w:rsidRPr="001E10EC">
        <w:rPr>
          <w:rFonts w:asciiTheme="majorBidi" w:hAnsiTheme="majorBidi" w:cstheme="majorBidi"/>
          <w:b/>
          <w:bCs/>
          <w:sz w:val="22"/>
          <w:szCs w:val="22"/>
        </w:rPr>
        <w:t>e</w:t>
      </w:r>
    </w:p>
    <w:tbl>
      <w:tblPr>
        <w:tblW w:w="9549" w:type="dxa"/>
        <w:tblInd w:w="90" w:type="dxa"/>
        <w:tblCellMar>
          <w:left w:w="0" w:type="dxa"/>
          <w:right w:w="0" w:type="dxa"/>
        </w:tblCellMar>
        <w:tblLook w:val="01E0" w:firstRow="1" w:lastRow="1" w:firstColumn="1" w:lastColumn="1" w:noHBand="0" w:noVBand="0"/>
      </w:tblPr>
      <w:tblGrid>
        <w:gridCol w:w="468"/>
        <w:gridCol w:w="9081"/>
      </w:tblGrid>
      <w:tr w:rsidR="000A62B6" w14:paraId="7FC824C9" w14:textId="77777777" w:rsidTr="008A23AA">
        <w:tc>
          <w:tcPr>
            <w:tcW w:w="468" w:type="dxa"/>
          </w:tcPr>
          <w:p w14:paraId="75EE54DB" w14:textId="77777777" w:rsidR="000A62B6" w:rsidRDefault="000A62B6" w:rsidP="000A62B6">
            <w:pPr>
              <w:jc w:val="both"/>
              <w:rPr>
                <w:lang w:bidi="fa-IR"/>
              </w:rPr>
            </w:pPr>
            <w:r>
              <w:t>[1]</w:t>
            </w:r>
          </w:p>
        </w:tc>
        <w:tc>
          <w:tcPr>
            <w:tcW w:w="9081" w:type="dxa"/>
          </w:tcPr>
          <w:p w14:paraId="533A547D" w14:textId="2468C065" w:rsidR="000A62B6" w:rsidRDefault="000A62B6" w:rsidP="000A62B6">
            <w:pPr>
              <w:jc w:val="both"/>
            </w:pPr>
            <w:proofErr w:type="spellStart"/>
            <w:r w:rsidRPr="00A46498">
              <w:rPr>
                <w:rFonts w:ascii="Times New Roman" w:eastAsia="Times New Roman" w:hAnsi="Times New Roman" w:cs="Times New Roman"/>
                <w:kern w:val="0"/>
                <w:sz w:val="22"/>
                <w:szCs w:val="22"/>
                <w14:ligatures w14:val="none"/>
              </w:rPr>
              <w:t>Noegroho</w:t>
            </w:r>
            <w:proofErr w:type="spellEnd"/>
            <w:r w:rsidRPr="00A46498">
              <w:rPr>
                <w:rFonts w:ascii="Times New Roman" w:eastAsia="Times New Roman" w:hAnsi="Times New Roman" w:cs="Times New Roman"/>
                <w:kern w:val="0"/>
                <w:sz w:val="22"/>
                <w:szCs w:val="22"/>
                <w14:ligatures w14:val="none"/>
              </w:rPr>
              <w:t xml:space="preserve"> BS, </w:t>
            </w:r>
            <w:proofErr w:type="spellStart"/>
            <w:r w:rsidRPr="00A46498">
              <w:rPr>
                <w:rFonts w:ascii="Times New Roman" w:eastAsia="Times New Roman" w:hAnsi="Times New Roman" w:cs="Times New Roman"/>
                <w:kern w:val="0"/>
                <w:sz w:val="22"/>
                <w:szCs w:val="22"/>
                <w14:ligatures w14:val="none"/>
              </w:rPr>
              <w:t>Siregar</w:t>
            </w:r>
            <w:proofErr w:type="spellEnd"/>
            <w:r w:rsidRPr="00A46498">
              <w:rPr>
                <w:rFonts w:ascii="Times New Roman" w:eastAsia="Times New Roman" w:hAnsi="Times New Roman" w:cs="Times New Roman"/>
                <w:kern w:val="0"/>
                <w:sz w:val="22"/>
                <w:szCs w:val="22"/>
                <w14:ligatures w14:val="none"/>
              </w:rPr>
              <w:t xml:space="preserve"> S, </w:t>
            </w:r>
            <w:proofErr w:type="spellStart"/>
            <w:r w:rsidRPr="00A46498">
              <w:rPr>
                <w:rFonts w:ascii="Times New Roman" w:eastAsia="Times New Roman" w:hAnsi="Times New Roman" w:cs="Times New Roman"/>
                <w:kern w:val="0"/>
                <w:sz w:val="22"/>
                <w:szCs w:val="22"/>
                <w14:ligatures w14:val="none"/>
              </w:rPr>
              <w:t>Tampubolon</w:t>
            </w:r>
            <w:proofErr w:type="spellEnd"/>
            <w:r w:rsidRPr="00A46498">
              <w:rPr>
                <w:rFonts w:ascii="Times New Roman" w:eastAsia="Times New Roman" w:hAnsi="Times New Roman" w:cs="Times New Roman"/>
                <w:kern w:val="0"/>
                <w:sz w:val="22"/>
                <w:szCs w:val="22"/>
                <w14:ligatures w14:val="none"/>
              </w:rPr>
              <w:t xml:space="preserve"> KAG. Antioxidant supplementation on sperm DNA    fragmentation and sperm parameters: a systematic review and meta-analysis. Turk J Urol. 2022;48(5):375–384. doi:10.5152/tud.2022.22058</w:t>
            </w:r>
          </w:p>
        </w:tc>
      </w:tr>
      <w:tr w:rsidR="000A62B6" w14:paraId="7477F913" w14:textId="77777777" w:rsidTr="008A23AA">
        <w:tc>
          <w:tcPr>
            <w:tcW w:w="468" w:type="dxa"/>
          </w:tcPr>
          <w:p w14:paraId="3C382A02" w14:textId="77777777" w:rsidR="000A62B6" w:rsidRDefault="000A62B6" w:rsidP="000A62B6">
            <w:pPr>
              <w:jc w:val="both"/>
              <w:rPr>
                <w:lang w:bidi="fa-IR"/>
              </w:rPr>
            </w:pPr>
            <w:r>
              <w:t>[2]</w:t>
            </w:r>
          </w:p>
        </w:tc>
        <w:tc>
          <w:tcPr>
            <w:tcW w:w="9081" w:type="dxa"/>
          </w:tcPr>
          <w:p w14:paraId="51B05349" w14:textId="17664224" w:rsidR="000A62B6" w:rsidRDefault="000A62B6" w:rsidP="000A62B6">
            <w:pPr>
              <w:jc w:val="both"/>
              <w:rPr>
                <w:lang w:bidi="fa-IR"/>
              </w:rPr>
            </w:pPr>
            <w:proofErr w:type="spellStart"/>
            <w:r w:rsidRPr="00A46498">
              <w:rPr>
                <w:rFonts w:ascii="Times New Roman" w:eastAsia="Times New Roman" w:hAnsi="Times New Roman" w:cs="Times New Roman"/>
                <w:kern w:val="0"/>
                <w:sz w:val="22"/>
                <w:szCs w:val="22"/>
                <w14:ligatures w14:val="none"/>
              </w:rPr>
              <w:t>Kaltsas</w:t>
            </w:r>
            <w:proofErr w:type="spellEnd"/>
            <w:r w:rsidRPr="00A46498">
              <w:rPr>
                <w:rFonts w:ascii="Times New Roman" w:eastAsia="Times New Roman" w:hAnsi="Times New Roman" w:cs="Times New Roman"/>
                <w:kern w:val="0"/>
                <w:sz w:val="22"/>
                <w:szCs w:val="22"/>
                <w14:ligatures w14:val="none"/>
              </w:rPr>
              <w:t xml:space="preserve"> A. Oxidative stress and male infertility: the protective role of antioxidants. </w:t>
            </w:r>
            <w:proofErr w:type="spellStart"/>
            <w:r w:rsidRPr="00A46498">
              <w:rPr>
                <w:rFonts w:ascii="Times New Roman" w:eastAsia="Times New Roman" w:hAnsi="Times New Roman" w:cs="Times New Roman"/>
                <w:kern w:val="0"/>
                <w:sz w:val="22"/>
                <w:szCs w:val="22"/>
                <w14:ligatures w14:val="none"/>
              </w:rPr>
              <w:t>Medicina</w:t>
            </w:r>
            <w:proofErr w:type="spellEnd"/>
            <w:r w:rsidRPr="00A46498">
              <w:rPr>
                <w:rFonts w:ascii="Times New Roman" w:eastAsia="Times New Roman" w:hAnsi="Times New Roman" w:cs="Times New Roman"/>
                <w:kern w:val="0"/>
                <w:sz w:val="22"/>
                <w:szCs w:val="22"/>
                <w14:ligatures w14:val="none"/>
              </w:rPr>
              <w:t>. 2023;59(10):1769. doi:10.3390/medicina59101769</w:t>
            </w:r>
          </w:p>
        </w:tc>
      </w:tr>
      <w:tr w:rsidR="000A62B6" w14:paraId="639FF727" w14:textId="77777777" w:rsidTr="008A23AA">
        <w:tc>
          <w:tcPr>
            <w:tcW w:w="468" w:type="dxa"/>
          </w:tcPr>
          <w:p w14:paraId="399B3AC6" w14:textId="77777777" w:rsidR="000A62B6" w:rsidRDefault="000A62B6" w:rsidP="000A62B6">
            <w:pPr>
              <w:jc w:val="both"/>
            </w:pPr>
            <w:r>
              <w:t>[3]</w:t>
            </w:r>
          </w:p>
        </w:tc>
        <w:tc>
          <w:tcPr>
            <w:tcW w:w="9081" w:type="dxa"/>
          </w:tcPr>
          <w:p w14:paraId="132A94ED" w14:textId="10342A6B" w:rsidR="000A62B6" w:rsidRDefault="000A62B6" w:rsidP="000A62B6">
            <w:pPr>
              <w:autoSpaceDE w:val="0"/>
              <w:autoSpaceDN w:val="0"/>
              <w:adjustRightInd w:val="0"/>
            </w:pPr>
            <w:proofErr w:type="spellStart"/>
            <w:r w:rsidRPr="00A46498">
              <w:rPr>
                <w:rFonts w:ascii="Times New Roman" w:eastAsia="Times New Roman" w:hAnsi="Times New Roman" w:cs="Times New Roman"/>
                <w:kern w:val="0"/>
                <w:sz w:val="22"/>
                <w:szCs w:val="22"/>
                <w14:ligatures w14:val="none"/>
              </w:rPr>
              <w:t>Pavuluri</w:t>
            </w:r>
            <w:proofErr w:type="spellEnd"/>
            <w:r w:rsidRPr="00A46498">
              <w:rPr>
                <w:rFonts w:ascii="Times New Roman" w:eastAsia="Times New Roman" w:hAnsi="Times New Roman" w:cs="Times New Roman"/>
                <w:kern w:val="0"/>
                <w:sz w:val="22"/>
                <w:szCs w:val="22"/>
                <w14:ligatures w14:val="none"/>
              </w:rPr>
              <w:t xml:space="preserve"> H, </w:t>
            </w:r>
            <w:proofErr w:type="spellStart"/>
            <w:r w:rsidRPr="00A46498">
              <w:rPr>
                <w:rFonts w:ascii="Times New Roman" w:eastAsia="Times New Roman" w:hAnsi="Times New Roman" w:cs="Times New Roman"/>
                <w:kern w:val="0"/>
                <w:sz w:val="22"/>
                <w:szCs w:val="22"/>
                <w14:ligatures w14:val="none"/>
              </w:rPr>
              <w:t>Bakhtiary</w:t>
            </w:r>
            <w:proofErr w:type="spellEnd"/>
            <w:r w:rsidRPr="00A46498">
              <w:rPr>
                <w:rFonts w:ascii="Times New Roman" w:eastAsia="Times New Roman" w:hAnsi="Times New Roman" w:cs="Times New Roman"/>
                <w:kern w:val="0"/>
                <w:sz w:val="22"/>
                <w:szCs w:val="22"/>
                <w14:ligatures w14:val="none"/>
              </w:rPr>
              <w:t xml:space="preserve"> Z, </w:t>
            </w:r>
            <w:proofErr w:type="spellStart"/>
            <w:r w:rsidRPr="00A46498">
              <w:rPr>
                <w:rFonts w:ascii="Times New Roman" w:eastAsia="Times New Roman" w:hAnsi="Times New Roman" w:cs="Times New Roman"/>
                <w:kern w:val="0"/>
                <w:sz w:val="22"/>
                <w:szCs w:val="22"/>
                <w14:ligatures w14:val="none"/>
              </w:rPr>
              <w:t>Panner</w:t>
            </w:r>
            <w:proofErr w:type="spellEnd"/>
            <w:r w:rsidRPr="00A46498">
              <w:rPr>
                <w:rFonts w:ascii="Times New Roman" w:eastAsia="Times New Roman" w:hAnsi="Times New Roman" w:cs="Times New Roman"/>
                <w:kern w:val="0"/>
                <w:sz w:val="22"/>
                <w:szCs w:val="22"/>
                <w14:ligatures w14:val="none"/>
              </w:rPr>
              <w:t xml:space="preserve"> </w:t>
            </w:r>
            <w:proofErr w:type="spellStart"/>
            <w:r w:rsidRPr="00A46498">
              <w:rPr>
                <w:rFonts w:ascii="Times New Roman" w:eastAsia="Times New Roman" w:hAnsi="Times New Roman" w:cs="Times New Roman"/>
                <w:kern w:val="0"/>
                <w:sz w:val="22"/>
                <w:szCs w:val="22"/>
                <w14:ligatures w14:val="none"/>
              </w:rPr>
              <w:t>Selvam</w:t>
            </w:r>
            <w:proofErr w:type="spellEnd"/>
            <w:r w:rsidRPr="00A46498">
              <w:rPr>
                <w:rFonts w:ascii="Times New Roman" w:eastAsia="Times New Roman" w:hAnsi="Times New Roman" w:cs="Times New Roman"/>
                <w:kern w:val="0"/>
                <w:sz w:val="22"/>
                <w:szCs w:val="22"/>
                <w14:ligatures w14:val="none"/>
              </w:rPr>
              <w:t xml:space="preserve"> M, </w:t>
            </w:r>
            <w:proofErr w:type="spellStart"/>
            <w:r w:rsidRPr="00A46498">
              <w:rPr>
                <w:rFonts w:ascii="Times New Roman" w:eastAsia="Times New Roman" w:hAnsi="Times New Roman" w:cs="Times New Roman"/>
                <w:kern w:val="0"/>
                <w:sz w:val="22"/>
                <w:szCs w:val="22"/>
                <w14:ligatures w14:val="none"/>
              </w:rPr>
              <w:t>Hellstrom</w:t>
            </w:r>
            <w:proofErr w:type="spellEnd"/>
            <w:r w:rsidRPr="00A46498">
              <w:rPr>
                <w:rFonts w:ascii="Times New Roman" w:eastAsia="Times New Roman" w:hAnsi="Times New Roman" w:cs="Times New Roman"/>
                <w:kern w:val="0"/>
                <w:sz w:val="22"/>
                <w:szCs w:val="22"/>
                <w14:ligatures w14:val="none"/>
              </w:rPr>
              <w:t xml:space="preserve"> WJG. Oxidative stress associated male infertility: current diagnostic and therapeutic approaches. </w:t>
            </w:r>
            <w:proofErr w:type="spellStart"/>
            <w:r w:rsidRPr="00A46498">
              <w:rPr>
                <w:rFonts w:ascii="Times New Roman" w:eastAsia="Times New Roman" w:hAnsi="Times New Roman" w:cs="Times New Roman"/>
                <w:kern w:val="0"/>
                <w:sz w:val="22"/>
                <w:szCs w:val="22"/>
                <w14:ligatures w14:val="none"/>
              </w:rPr>
              <w:t>Medicina</w:t>
            </w:r>
            <w:proofErr w:type="spellEnd"/>
            <w:r w:rsidRPr="00A46498">
              <w:rPr>
                <w:rFonts w:ascii="Times New Roman" w:eastAsia="Times New Roman" w:hAnsi="Times New Roman" w:cs="Times New Roman"/>
                <w:kern w:val="0"/>
                <w:sz w:val="22"/>
                <w:szCs w:val="22"/>
                <w14:ligatures w14:val="none"/>
              </w:rPr>
              <w:t>. 2024;60(6):1008. doi:10.3390/medicina60061008</w:t>
            </w:r>
          </w:p>
        </w:tc>
      </w:tr>
      <w:tr w:rsidR="000A62B6" w14:paraId="3690649E" w14:textId="77777777" w:rsidTr="008A23AA">
        <w:tc>
          <w:tcPr>
            <w:tcW w:w="468" w:type="dxa"/>
          </w:tcPr>
          <w:p w14:paraId="406A8182" w14:textId="5517C51B" w:rsidR="000A62B6" w:rsidRDefault="000A62B6" w:rsidP="000A62B6">
            <w:pPr>
              <w:jc w:val="both"/>
            </w:pPr>
            <w:r>
              <w:t>[4]</w:t>
            </w:r>
          </w:p>
        </w:tc>
        <w:tc>
          <w:tcPr>
            <w:tcW w:w="9081" w:type="dxa"/>
          </w:tcPr>
          <w:p w14:paraId="50F733F0" w14:textId="1AEE3982" w:rsidR="000A62B6" w:rsidRPr="00992AEA" w:rsidRDefault="000A62B6" w:rsidP="000A62B6">
            <w:pPr>
              <w:autoSpaceDE w:val="0"/>
              <w:autoSpaceDN w:val="0"/>
              <w:adjustRightInd w:val="0"/>
            </w:pPr>
            <w:r w:rsidRPr="00A46498">
              <w:rPr>
                <w:rFonts w:ascii="Times New Roman" w:eastAsia="Times New Roman" w:hAnsi="Times New Roman" w:cs="Times New Roman"/>
                <w:kern w:val="0"/>
                <w:sz w:val="22"/>
                <w:szCs w:val="22"/>
                <w14:ligatures w14:val="none"/>
              </w:rPr>
              <w:t xml:space="preserve">Saleh R, El </w:t>
            </w:r>
            <w:proofErr w:type="spellStart"/>
            <w:r w:rsidRPr="00A46498">
              <w:rPr>
                <w:rFonts w:ascii="Times New Roman" w:eastAsia="Times New Roman" w:hAnsi="Times New Roman" w:cs="Times New Roman"/>
                <w:kern w:val="0"/>
                <w:sz w:val="22"/>
                <w:szCs w:val="22"/>
                <w14:ligatures w14:val="none"/>
              </w:rPr>
              <w:t>Hattab</w:t>
            </w:r>
            <w:proofErr w:type="spellEnd"/>
            <w:r w:rsidRPr="00A46498">
              <w:rPr>
                <w:rFonts w:ascii="Times New Roman" w:eastAsia="Times New Roman" w:hAnsi="Times New Roman" w:cs="Times New Roman"/>
                <w:kern w:val="0"/>
                <w:sz w:val="22"/>
                <w:szCs w:val="22"/>
                <w14:ligatures w14:val="none"/>
              </w:rPr>
              <w:t xml:space="preserve"> OG, et al. Unravelling the epigenetic impact: oxidative stress and its role in male infertility associated sperm dysfunction. </w:t>
            </w:r>
            <w:proofErr w:type="spellStart"/>
            <w:r w:rsidRPr="00A46498">
              <w:rPr>
                <w:rFonts w:ascii="Times New Roman" w:eastAsia="Times New Roman" w:hAnsi="Times New Roman" w:cs="Times New Roman"/>
                <w:kern w:val="0"/>
                <w:sz w:val="22"/>
                <w:szCs w:val="22"/>
                <w14:ligatures w14:val="none"/>
              </w:rPr>
              <w:t>Reprod</w:t>
            </w:r>
            <w:proofErr w:type="spellEnd"/>
            <w:r w:rsidRPr="00A46498">
              <w:rPr>
                <w:rFonts w:ascii="Times New Roman" w:eastAsia="Times New Roman" w:hAnsi="Times New Roman" w:cs="Times New Roman"/>
                <w:kern w:val="0"/>
                <w:sz w:val="22"/>
                <w:szCs w:val="22"/>
                <w14:ligatures w14:val="none"/>
              </w:rPr>
              <w:t xml:space="preserve"> </w:t>
            </w:r>
            <w:proofErr w:type="spellStart"/>
            <w:r w:rsidRPr="00A46498">
              <w:rPr>
                <w:rFonts w:ascii="Times New Roman" w:eastAsia="Times New Roman" w:hAnsi="Times New Roman" w:cs="Times New Roman"/>
                <w:kern w:val="0"/>
                <w:sz w:val="22"/>
                <w:szCs w:val="22"/>
                <w14:ligatures w14:val="none"/>
              </w:rPr>
              <w:t>Toxicol</w:t>
            </w:r>
            <w:proofErr w:type="spellEnd"/>
            <w:r w:rsidRPr="00A46498">
              <w:rPr>
                <w:rFonts w:ascii="Times New Roman" w:eastAsia="Times New Roman" w:hAnsi="Times New Roman" w:cs="Times New Roman"/>
                <w:kern w:val="0"/>
                <w:sz w:val="22"/>
                <w:szCs w:val="22"/>
                <w14:ligatures w14:val="none"/>
              </w:rPr>
              <w:t xml:space="preserve">. </w:t>
            </w:r>
            <w:proofErr w:type="gramStart"/>
            <w:r w:rsidRPr="00A46498">
              <w:rPr>
                <w:rFonts w:ascii="Times New Roman" w:eastAsia="Times New Roman" w:hAnsi="Times New Roman" w:cs="Times New Roman"/>
                <w:kern w:val="0"/>
                <w:sz w:val="22"/>
                <w:szCs w:val="22"/>
                <w14:ligatures w14:val="none"/>
              </w:rPr>
              <w:t>2024;124:108531</w:t>
            </w:r>
            <w:proofErr w:type="gramEnd"/>
            <w:r w:rsidRPr="00A46498">
              <w:rPr>
                <w:rFonts w:ascii="Times New Roman" w:eastAsia="Times New Roman" w:hAnsi="Times New Roman" w:cs="Times New Roman"/>
                <w:kern w:val="0"/>
                <w:sz w:val="22"/>
                <w:szCs w:val="22"/>
                <w14:ligatures w14:val="none"/>
              </w:rPr>
              <w:t>. doi:10.1016/j.reprotox.2023.108531</w:t>
            </w:r>
          </w:p>
        </w:tc>
      </w:tr>
      <w:tr w:rsidR="000A62B6" w14:paraId="00807FC5" w14:textId="77777777" w:rsidTr="008A23AA">
        <w:tc>
          <w:tcPr>
            <w:tcW w:w="468" w:type="dxa"/>
          </w:tcPr>
          <w:p w14:paraId="379E0DCD" w14:textId="4A4D455F" w:rsidR="000A62B6" w:rsidRDefault="000A62B6" w:rsidP="000A62B6">
            <w:pPr>
              <w:jc w:val="both"/>
            </w:pPr>
            <w:r>
              <w:t>[5]</w:t>
            </w:r>
          </w:p>
        </w:tc>
        <w:tc>
          <w:tcPr>
            <w:tcW w:w="9081" w:type="dxa"/>
          </w:tcPr>
          <w:p w14:paraId="45845367" w14:textId="7A42384B" w:rsidR="000A62B6" w:rsidRPr="00992AEA" w:rsidRDefault="000A62B6" w:rsidP="000A62B6">
            <w:pPr>
              <w:autoSpaceDE w:val="0"/>
              <w:autoSpaceDN w:val="0"/>
              <w:adjustRightInd w:val="0"/>
            </w:pPr>
            <w:r w:rsidRPr="00A46498">
              <w:rPr>
                <w:rFonts w:ascii="Times New Roman" w:eastAsia="Times New Roman" w:hAnsi="Times New Roman" w:cs="Times New Roman"/>
                <w:kern w:val="0"/>
                <w:sz w:val="22"/>
                <w:szCs w:val="22"/>
                <w14:ligatures w14:val="none"/>
              </w:rPr>
              <w:t>Agarwal A, Dutta S, Sharma R, et al. Antioxidant supplementation on male fertility — a systematic review. Antioxidants (Basel). 2023;12(4):836. doi:10.3390/antiox12040836</w:t>
            </w:r>
          </w:p>
        </w:tc>
      </w:tr>
      <w:tr w:rsidR="000A62B6" w14:paraId="2855BD16" w14:textId="77777777" w:rsidTr="008A23AA">
        <w:tc>
          <w:tcPr>
            <w:tcW w:w="468" w:type="dxa"/>
          </w:tcPr>
          <w:p w14:paraId="797DE253" w14:textId="57D9ED78" w:rsidR="000A62B6" w:rsidRDefault="000A62B6" w:rsidP="000A62B6">
            <w:pPr>
              <w:jc w:val="both"/>
            </w:pPr>
            <w:r>
              <w:t>[6]</w:t>
            </w:r>
          </w:p>
        </w:tc>
        <w:tc>
          <w:tcPr>
            <w:tcW w:w="9081" w:type="dxa"/>
          </w:tcPr>
          <w:p w14:paraId="6D60742C" w14:textId="1840E056" w:rsidR="000A62B6" w:rsidRPr="00992AEA" w:rsidRDefault="000A62B6" w:rsidP="000A62B6">
            <w:pPr>
              <w:autoSpaceDE w:val="0"/>
              <w:autoSpaceDN w:val="0"/>
              <w:adjustRightInd w:val="0"/>
            </w:pPr>
            <w:proofErr w:type="spellStart"/>
            <w:r w:rsidRPr="00A46498">
              <w:rPr>
                <w:rFonts w:ascii="Times New Roman" w:eastAsia="Times New Roman" w:hAnsi="Times New Roman" w:cs="Times New Roman"/>
                <w:kern w:val="0"/>
                <w:sz w:val="22"/>
                <w:szCs w:val="22"/>
                <w14:ligatures w14:val="none"/>
              </w:rPr>
              <w:t>Safarinejad</w:t>
            </w:r>
            <w:proofErr w:type="spellEnd"/>
            <w:r w:rsidRPr="00A46498">
              <w:rPr>
                <w:rFonts w:ascii="Times New Roman" w:eastAsia="Times New Roman" w:hAnsi="Times New Roman" w:cs="Times New Roman"/>
                <w:kern w:val="0"/>
                <w:sz w:val="22"/>
                <w:szCs w:val="22"/>
                <w14:ligatures w14:val="none"/>
              </w:rPr>
              <w:t xml:space="preserve"> MR, </w:t>
            </w:r>
            <w:proofErr w:type="spellStart"/>
            <w:r w:rsidRPr="00A46498">
              <w:rPr>
                <w:rFonts w:ascii="Times New Roman" w:eastAsia="Times New Roman" w:hAnsi="Times New Roman" w:cs="Times New Roman"/>
                <w:kern w:val="0"/>
                <w:sz w:val="22"/>
                <w:szCs w:val="22"/>
                <w14:ligatures w14:val="none"/>
              </w:rPr>
              <w:t>Shafiei</w:t>
            </w:r>
            <w:proofErr w:type="spellEnd"/>
            <w:r w:rsidRPr="00A46498">
              <w:rPr>
                <w:rFonts w:ascii="Times New Roman" w:eastAsia="Times New Roman" w:hAnsi="Times New Roman" w:cs="Times New Roman"/>
                <w:kern w:val="0"/>
                <w:sz w:val="22"/>
                <w:szCs w:val="22"/>
                <w14:ligatures w14:val="none"/>
              </w:rPr>
              <w:t xml:space="preserve"> N, et al. Micronutrient–antioxidant therapy and male fertility improvement during ART cycles. Nutrients. 2023;17(2):324. doi:10.3390/nu17020324</w:t>
            </w:r>
          </w:p>
        </w:tc>
      </w:tr>
      <w:tr w:rsidR="000A62B6" w14:paraId="0B873B79" w14:textId="77777777" w:rsidTr="008A23AA">
        <w:tc>
          <w:tcPr>
            <w:tcW w:w="468" w:type="dxa"/>
          </w:tcPr>
          <w:p w14:paraId="0C499504" w14:textId="3A9E2303" w:rsidR="000A62B6" w:rsidRDefault="000A62B6" w:rsidP="000A62B6">
            <w:pPr>
              <w:jc w:val="both"/>
            </w:pPr>
            <w:r>
              <w:t>[7]</w:t>
            </w:r>
          </w:p>
        </w:tc>
        <w:tc>
          <w:tcPr>
            <w:tcW w:w="9081" w:type="dxa"/>
          </w:tcPr>
          <w:p w14:paraId="7DE66A41" w14:textId="549EE033" w:rsidR="000A62B6" w:rsidRPr="00992AEA" w:rsidRDefault="000A62B6" w:rsidP="000A62B6">
            <w:pPr>
              <w:autoSpaceDE w:val="0"/>
              <w:autoSpaceDN w:val="0"/>
              <w:adjustRightInd w:val="0"/>
            </w:pPr>
            <w:r w:rsidRPr="00A46498">
              <w:rPr>
                <w:rFonts w:ascii="Times New Roman" w:eastAsia="Times New Roman" w:hAnsi="Times New Roman" w:cs="Times New Roman"/>
                <w:kern w:val="0"/>
                <w:sz w:val="22"/>
                <w:szCs w:val="22"/>
                <w14:ligatures w14:val="none"/>
              </w:rPr>
              <w:t xml:space="preserve">Zanetti L, </w:t>
            </w:r>
            <w:proofErr w:type="spellStart"/>
            <w:r w:rsidRPr="00A46498">
              <w:rPr>
                <w:rFonts w:ascii="Times New Roman" w:eastAsia="Times New Roman" w:hAnsi="Times New Roman" w:cs="Times New Roman"/>
                <w:kern w:val="0"/>
                <w:sz w:val="22"/>
                <w:szCs w:val="22"/>
                <w14:ligatures w14:val="none"/>
              </w:rPr>
              <w:t>Laliscia</w:t>
            </w:r>
            <w:proofErr w:type="spellEnd"/>
            <w:r w:rsidRPr="00A46498">
              <w:rPr>
                <w:rFonts w:ascii="Times New Roman" w:eastAsia="Times New Roman" w:hAnsi="Times New Roman" w:cs="Times New Roman"/>
                <w:kern w:val="0"/>
                <w:sz w:val="22"/>
                <w:szCs w:val="22"/>
                <w14:ligatures w14:val="none"/>
              </w:rPr>
              <w:t xml:space="preserve"> S, </w:t>
            </w:r>
            <w:proofErr w:type="spellStart"/>
            <w:r w:rsidRPr="00A46498">
              <w:rPr>
                <w:rFonts w:ascii="Times New Roman" w:eastAsia="Times New Roman" w:hAnsi="Times New Roman" w:cs="Times New Roman"/>
                <w:kern w:val="0"/>
                <w:sz w:val="22"/>
                <w:szCs w:val="22"/>
                <w14:ligatures w14:val="none"/>
              </w:rPr>
              <w:t>Calogero</w:t>
            </w:r>
            <w:proofErr w:type="spellEnd"/>
            <w:r w:rsidRPr="00A46498">
              <w:rPr>
                <w:rFonts w:ascii="Times New Roman" w:eastAsia="Times New Roman" w:hAnsi="Times New Roman" w:cs="Times New Roman"/>
                <w:kern w:val="0"/>
                <w:sz w:val="22"/>
                <w:szCs w:val="22"/>
                <w14:ligatures w14:val="none"/>
              </w:rPr>
              <w:t xml:space="preserve"> AE, et al. Micronutrient supplements as antioxidants in improving sperm quality and reducing DNA fragmentation. Basic </w:t>
            </w:r>
            <w:proofErr w:type="spellStart"/>
            <w:r w:rsidRPr="00A46498">
              <w:rPr>
                <w:rFonts w:ascii="Times New Roman" w:eastAsia="Times New Roman" w:hAnsi="Times New Roman" w:cs="Times New Roman"/>
                <w:kern w:val="0"/>
                <w:sz w:val="22"/>
                <w:szCs w:val="22"/>
                <w14:ligatures w14:val="none"/>
              </w:rPr>
              <w:t>Clin</w:t>
            </w:r>
            <w:proofErr w:type="spellEnd"/>
            <w:r w:rsidRPr="00A46498">
              <w:rPr>
                <w:rFonts w:ascii="Times New Roman" w:eastAsia="Times New Roman" w:hAnsi="Times New Roman" w:cs="Times New Roman"/>
                <w:kern w:val="0"/>
                <w:sz w:val="22"/>
                <w:szCs w:val="22"/>
                <w14:ligatures w14:val="none"/>
              </w:rPr>
              <w:t xml:space="preserve"> </w:t>
            </w:r>
            <w:proofErr w:type="spellStart"/>
            <w:r w:rsidRPr="00A46498">
              <w:rPr>
                <w:rFonts w:ascii="Times New Roman" w:eastAsia="Times New Roman" w:hAnsi="Times New Roman" w:cs="Times New Roman"/>
                <w:kern w:val="0"/>
                <w:sz w:val="22"/>
                <w:szCs w:val="22"/>
                <w14:ligatures w14:val="none"/>
              </w:rPr>
              <w:t>Androl</w:t>
            </w:r>
            <w:proofErr w:type="spellEnd"/>
            <w:r w:rsidRPr="00A46498">
              <w:rPr>
                <w:rFonts w:ascii="Times New Roman" w:eastAsia="Times New Roman" w:hAnsi="Times New Roman" w:cs="Times New Roman"/>
                <w:kern w:val="0"/>
                <w:sz w:val="22"/>
                <w:szCs w:val="22"/>
                <w14:ligatures w14:val="none"/>
              </w:rPr>
              <w:t xml:space="preserve">. </w:t>
            </w:r>
            <w:proofErr w:type="gramStart"/>
            <w:r w:rsidRPr="00A46498">
              <w:rPr>
                <w:rFonts w:ascii="Times New Roman" w:eastAsia="Times New Roman" w:hAnsi="Times New Roman" w:cs="Times New Roman"/>
                <w:kern w:val="0"/>
                <w:sz w:val="22"/>
                <w:szCs w:val="22"/>
                <w14:ligatures w14:val="none"/>
              </w:rPr>
              <w:t>2023;33:1</w:t>
            </w:r>
            <w:proofErr w:type="gramEnd"/>
            <w:r w:rsidRPr="00A46498">
              <w:rPr>
                <w:rFonts w:ascii="Times New Roman" w:eastAsia="Times New Roman" w:hAnsi="Times New Roman" w:cs="Times New Roman"/>
                <w:kern w:val="0"/>
                <w:sz w:val="22"/>
                <w:szCs w:val="22"/>
                <w14:ligatures w14:val="none"/>
              </w:rPr>
              <w:t>–11. doi:10.1186/s12610-023-00197-9</w:t>
            </w:r>
          </w:p>
        </w:tc>
      </w:tr>
      <w:tr w:rsidR="000A62B6" w14:paraId="1A994623" w14:textId="77777777" w:rsidTr="008A23AA">
        <w:tc>
          <w:tcPr>
            <w:tcW w:w="468" w:type="dxa"/>
          </w:tcPr>
          <w:p w14:paraId="4C305DC2" w14:textId="4C6186B8" w:rsidR="000A62B6" w:rsidRDefault="000A62B6" w:rsidP="000A62B6">
            <w:pPr>
              <w:jc w:val="both"/>
            </w:pPr>
            <w:r>
              <w:t>[8]</w:t>
            </w:r>
          </w:p>
        </w:tc>
        <w:tc>
          <w:tcPr>
            <w:tcW w:w="9081" w:type="dxa"/>
          </w:tcPr>
          <w:p w14:paraId="7689AC05" w14:textId="268EE293" w:rsidR="000A62B6" w:rsidRPr="00A46498" w:rsidRDefault="000A62B6" w:rsidP="000A62B6">
            <w:pPr>
              <w:autoSpaceDE w:val="0"/>
              <w:autoSpaceDN w:val="0"/>
              <w:adjustRightInd w:val="0"/>
            </w:pPr>
            <w:proofErr w:type="spellStart"/>
            <w:r w:rsidRPr="00915FBD">
              <w:rPr>
                <w:rFonts w:ascii="Times New Roman" w:eastAsia="Times New Roman" w:hAnsi="Times New Roman" w:cs="Times New Roman"/>
                <w:kern w:val="0"/>
                <w:sz w:val="22"/>
                <w:szCs w:val="22"/>
                <w14:ligatures w14:val="none"/>
              </w:rPr>
              <w:t>Showell</w:t>
            </w:r>
            <w:proofErr w:type="spellEnd"/>
            <w:r w:rsidRPr="00915FBD">
              <w:rPr>
                <w:rFonts w:ascii="Times New Roman" w:eastAsia="Times New Roman" w:hAnsi="Times New Roman" w:cs="Times New Roman"/>
                <w:kern w:val="0"/>
                <w:sz w:val="22"/>
                <w:szCs w:val="22"/>
                <w14:ligatures w14:val="none"/>
              </w:rPr>
              <w:t xml:space="preserve"> MG, Mackenzie-Proctor R, Brown J, et al. The effect of nutrients and dietary supplements on sperm quality parameters: a systematic review and meta-analysis of randomized clinical trials. Hum </w:t>
            </w:r>
            <w:proofErr w:type="spellStart"/>
            <w:r w:rsidRPr="00915FBD">
              <w:rPr>
                <w:rFonts w:ascii="Times New Roman" w:eastAsia="Times New Roman" w:hAnsi="Times New Roman" w:cs="Times New Roman"/>
                <w:kern w:val="0"/>
                <w:sz w:val="22"/>
                <w:szCs w:val="22"/>
                <w14:ligatures w14:val="none"/>
              </w:rPr>
              <w:t>Reprod</w:t>
            </w:r>
            <w:proofErr w:type="spellEnd"/>
            <w:r w:rsidRPr="00915FBD">
              <w:rPr>
                <w:rFonts w:ascii="Times New Roman" w:eastAsia="Times New Roman" w:hAnsi="Times New Roman" w:cs="Times New Roman"/>
                <w:kern w:val="0"/>
                <w:sz w:val="22"/>
                <w:szCs w:val="22"/>
                <w14:ligatures w14:val="none"/>
              </w:rPr>
              <w:t xml:space="preserve"> Update. 2018;24(5</w:t>
            </w:r>
            <w:proofErr w:type="gramStart"/>
            <w:r w:rsidRPr="00915FBD">
              <w:rPr>
                <w:rFonts w:ascii="Times New Roman" w:eastAsia="Times New Roman" w:hAnsi="Times New Roman" w:cs="Times New Roman"/>
                <w:kern w:val="0"/>
                <w:sz w:val="22"/>
                <w:szCs w:val="22"/>
                <w14:ligatures w14:val="none"/>
              </w:rPr>
              <w:t>):</w:t>
            </w:r>
            <w:proofErr w:type="spellStart"/>
            <w:r w:rsidRPr="00915FBD">
              <w:rPr>
                <w:rFonts w:ascii="Times New Roman" w:eastAsia="Times New Roman" w:hAnsi="Times New Roman" w:cs="Times New Roman"/>
                <w:kern w:val="0"/>
                <w:sz w:val="22"/>
                <w:szCs w:val="22"/>
                <w14:ligatures w14:val="none"/>
              </w:rPr>
              <w:t>Epub</w:t>
            </w:r>
            <w:proofErr w:type="spellEnd"/>
            <w:proofErr w:type="gramEnd"/>
            <w:r w:rsidRPr="00915FBD">
              <w:rPr>
                <w:rFonts w:ascii="Times New Roman" w:eastAsia="Times New Roman" w:hAnsi="Times New Roman" w:cs="Times New Roman"/>
                <w:kern w:val="0"/>
                <w:sz w:val="22"/>
                <w:szCs w:val="22"/>
                <w14:ligatures w14:val="none"/>
              </w:rPr>
              <w:t xml:space="preserve"> 2018 Sep 7. doi:10.1093/</w:t>
            </w:r>
            <w:proofErr w:type="spellStart"/>
            <w:r w:rsidRPr="00915FBD">
              <w:rPr>
                <w:rFonts w:ascii="Times New Roman" w:eastAsia="Times New Roman" w:hAnsi="Times New Roman" w:cs="Times New Roman"/>
                <w:kern w:val="0"/>
                <w:sz w:val="22"/>
                <w:szCs w:val="22"/>
                <w14:ligatures w14:val="none"/>
              </w:rPr>
              <w:t>humupd</w:t>
            </w:r>
            <w:proofErr w:type="spellEnd"/>
            <w:r w:rsidRPr="00915FBD">
              <w:rPr>
                <w:rFonts w:ascii="Times New Roman" w:eastAsia="Times New Roman" w:hAnsi="Times New Roman" w:cs="Times New Roman"/>
                <w:kern w:val="0"/>
                <w:sz w:val="22"/>
                <w:szCs w:val="22"/>
                <w14:ligatures w14:val="none"/>
              </w:rPr>
              <w:t>/dmy026</w:t>
            </w:r>
          </w:p>
        </w:tc>
      </w:tr>
      <w:tr w:rsidR="000A62B6" w14:paraId="50E128BE" w14:textId="77777777" w:rsidTr="008A23AA">
        <w:tc>
          <w:tcPr>
            <w:tcW w:w="468" w:type="dxa"/>
          </w:tcPr>
          <w:p w14:paraId="5FF96EDA" w14:textId="698152B6" w:rsidR="000A62B6" w:rsidRDefault="000A62B6" w:rsidP="000A62B6">
            <w:pPr>
              <w:jc w:val="both"/>
            </w:pPr>
            <w:r>
              <w:t>[9]</w:t>
            </w:r>
          </w:p>
        </w:tc>
        <w:tc>
          <w:tcPr>
            <w:tcW w:w="9081" w:type="dxa"/>
          </w:tcPr>
          <w:p w14:paraId="7F1E84FF" w14:textId="1D80946E" w:rsidR="000A62B6" w:rsidRPr="00A46498" w:rsidRDefault="000A62B6" w:rsidP="000A62B6">
            <w:pPr>
              <w:autoSpaceDE w:val="0"/>
              <w:autoSpaceDN w:val="0"/>
              <w:adjustRightInd w:val="0"/>
            </w:pPr>
            <w:r w:rsidRPr="00915FBD">
              <w:t xml:space="preserve"> </w:t>
            </w:r>
            <w:proofErr w:type="spellStart"/>
            <w:r w:rsidRPr="00915FBD">
              <w:rPr>
                <w:rFonts w:ascii="Times New Roman" w:eastAsia="Times New Roman" w:hAnsi="Times New Roman" w:cs="Times New Roman"/>
                <w:kern w:val="0"/>
                <w:sz w:val="22"/>
                <w:szCs w:val="22"/>
                <w14:ligatures w14:val="none"/>
              </w:rPr>
              <w:t>Ambiye</w:t>
            </w:r>
            <w:proofErr w:type="spellEnd"/>
            <w:r w:rsidRPr="00915FBD">
              <w:rPr>
                <w:rFonts w:ascii="Times New Roman" w:eastAsia="Times New Roman" w:hAnsi="Times New Roman" w:cs="Times New Roman"/>
                <w:kern w:val="0"/>
                <w:sz w:val="22"/>
                <w:szCs w:val="22"/>
                <w14:ligatures w14:val="none"/>
              </w:rPr>
              <w:t xml:space="preserve"> VN, Agrawal A, </w:t>
            </w:r>
            <w:proofErr w:type="spellStart"/>
            <w:r w:rsidRPr="00915FBD">
              <w:rPr>
                <w:rFonts w:ascii="Times New Roman" w:eastAsia="Times New Roman" w:hAnsi="Times New Roman" w:cs="Times New Roman"/>
                <w:kern w:val="0"/>
                <w:sz w:val="22"/>
                <w:szCs w:val="22"/>
                <w14:ligatures w14:val="none"/>
              </w:rPr>
              <w:t>Sonnenschein</w:t>
            </w:r>
            <w:proofErr w:type="spellEnd"/>
            <w:r w:rsidRPr="00915FBD">
              <w:rPr>
                <w:rFonts w:ascii="Times New Roman" w:eastAsia="Times New Roman" w:hAnsi="Times New Roman" w:cs="Times New Roman"/>
                <w:kern w:val="0"/>
                <w:sz w:val="22"/>
                <w:szCs w:val="22"/>
                <w14:ligatures w14:val="none"/>
              </w:rPr>
              <w:t xml:space="preserve"> R, et al. Clinical evaluation of the </w:t>
            </w:r>
            <w:proofErr w:type="spellStart"/>
            <w:r w:rsidRPr="00915FBD">
              <w:rPr>
                <w:rFonts w:ascii="Times New Roman" w:eastAsia="Times New Roman" w:hAnsi="Times New Roman" w:cs="Times New Roman"/>
                <w:kern w:val="0"/>
                <w:sz w:val="22"/>
                <w:szCs w:val="22"/>
                <w14:ligatures w14:val="none"/>
              </w:rPr>
              <w:t>spermatogenic</w:t>
            </w:r>
            <w:proofErr w:type="spellEnd"/>
            <w:r w:rsidRPr="00915FBD">
              <w:rPr>
                <w:rFonts w:ascii="Times New Roman" w:eastAsia="Times New Roman" w:hAnsi="Times New Roman" w:cs="Times New Roman"/>
                <w:kern w:val="0"/>
                <w:sz w:val="22"/>
                <w:szCs w:val="22"/>
                <w14:ligatures w14:val="none"/>
              </w:rPr>
              <w:t xml:space="preserve"> activity of the root extract of </w:t>
            </w:r>
            <w:proofErr w:type="spellStart"/>
            <w:r w:rsidRPr="00915FBD">
              <w:rPr>
                <w:rFonts w:ascii="Times New Roman" w:eastAsia="Times New Roman" w:hAnsi="Times New Roman" w:cs="Times New Roman"/>
                <w:kern w:val="0"/>
                <w:sz w:val="22"/>
                <w:szCs w:val="22"/>
                <w14:ligatures w14:val="none"/>
              </w:rPr>
              <w:t>Withania</w:t>
            </w:r>
            <w:proofErr w:type="spellEnd"/>
            <w:r w:rsidRPr="00915FBD">
              <w:rPr>
                <w:rFonts w:ascii="Times New Roman" w:eastAsia="Times New Roman" w:hAnsi="Times New Roman" w:cs="Times New Roman"/>
                <w:kern w:val="0"/>
                <w:sz w:val="22"/>
                <w:szCs w:val="22"/>
                <w14:ligatures w14:val="none"/>
              </w:rPr>
              <w:t xml:space="preserve"> </w:t>
            </w:r>
            <w:proofErr w:type="spellStart"/>
            <w:r w:rsidRPr="00915FBD">
              <w:rPr>
                <w:rFonts w:ascii="Times New Roman" w:eastAsia="Times New Roman" w:hAnsi="Times New Roman" w:cs="Times New Roman"/>
                <w:kern w:val="0"/>
                <w:sz w:val="22"/>
                <w:szCs w:val="22"/>
                <w14:ligatures w14:val="none"/>
              </w:rPr>
              <w:t>somnifera</w:t>
            </w:r>
            <w:proofErr w:type="spellEnd"/>
            <w:r w:rsidRPr="00915FBD">
              <w:rPr>
                <w:rFonts w:ascii="Times New Roman" w:eastAsia="Times New Roman" w:hAnsi="Times New Roman" w:cs="Times New Roman"/>
                <w:kern w:val="0"/>
                <w:sz w:val="22"/>
                <w:szCs w:val="22"/>
                <w14:ligatures w14:val="none"/>
              </w:rPr>
              <w:t xml:space="preserve"> in </w:t>
            </w:r>
            <w:proofErr w:type="spellStart"/>
            <w:r w:rsidRPr="00915FBD">
              <w:rPr>
                <w:rFonts w:ascii="Times New Roman" w:eastAsia="Times New Roman" w:hAnsi="Times New Roman" w:cs="Times New Roman"/>
                <w:kern w:val="0"/>
                <w:sz w:val="22"/>
                <w:szCs w:val="22"/>
                <w14:ligatures w14:val="none"/>
              </w:rPr>
              <w:t>oligospermic</w:t>
            </w:r>
            <w:proofErr w:type="spellEnd"/>
            <w:r w:rsidRPr="00915FBD">
              <w:rPr>
                <w:rFonts w:ascii="Times New Roman" w:eastAsia="Times New Roman" w:hAnsi="Times New Roman" w:cs="Times New Roman"/>
                <w:kern w:val="0"/>
                <w:sz w:val="22"/>
                <w:szCs w:val="22"/>
                <w14:ligatures w14:val="none"/>
              </w:rPr>
              <w:t xml:space="preserve"> males: a pilot study. </w:t>
            </w:r>
            <w:proofErr w:type="spellStart"/>
            <w:r w:rsidRPr="00915FBD">
              <w:rPr>
                <w:rFonts w:ascii="Times New Roman" w:eastAsia="Times New Roman" w:hAnsi="Times New Roman" w:cs="Times New Roman"/>
                <w:kern w:val="0"/>
                <w:sz w:val="22"/>
                <w:szCs w:val="22"/>
                <w14:ligatures w14:val="none"/>
              </w:rPr>
              <w:t>Fertil</w:t>
            </w:r>
            <w:proofErr w:type="spellEnd"/>
            <w:r w:rsidRPr="00915FBD">
              <w:rPr>
                <w:rFonts w:ascii="Times New Roman" w:eastAsia="Times New Roman" w:hAnsi="Times New Roman" w:cs="Times New Roman"/>
                <w:kern w:val="0"/>
                <w:sz w:val="22"/>
                <w:szCs w:val="22"/>
                <w14:ligatures w14:val="none"/>
              </w:rPr>
              <w:t xml:space="preserve"> </w:t>
            </w:r>
            <w:proofErr w:type="spellStart"/>
            <w:r w:rsidRPr="00915FBD">
              <w:rPr>
                <w:rFonts w:ascii="Times New Roman" w:eastAsia="Times New Roman" w:hAnsi="Times New Roman" w:cs="Times New Roman"/>
                <w:kern w:val="0"/>
                <w:sz w:val="22"/>
                <w:szCs w:val="22"/>
                <w14:ligatures w14:val="none"/>
              </w:rPr>
              <w:t>Steril</w:t>
            </w:r>
            <w:proofErr w:type="spellEnd"/>
            <w:r w:rsidRPr="00915FBD">
              <w:rPr>
                <w:rFonts w:ascii="Times New Roman" w:eastAsia="Times New Roman" w:hAnsi="Times New Roman" w:cs="Times New Roman"/>
                <w:kern w:val="0"/>
                <w:sz w:val="22"/>
                <w:szCs w:val="22"/>
                <w14:ligatures w14:val="none"/>
              </w:rPr>
              <w:t>. 2013;99(3):702–707</w:t>
            </w:r>
          </w:p>
        </w:tc>
      </w:tr>
      <w:tr w:rsidR="000A62B6" w14:paraId="69DA0809" w14:textId="77777777" w:rsidTr="008A23AA">
        <w:tc>
          <w:tcPr>
            <w:tcW w:w="468" w:type="dxa"/>
          </w:tcPr>
          <w:p w14:paraId="492DAE03" w14:textId="01D4D952" w:rsidR="000A62B6" w:rsidRDefault="000A62B6" w:rsidP="000A62B6">
            <w:pPr>
              <w:jc w:val="both"/>
            </w:pPr>
            <w:r>
              <w:t>[10]</w:t>
            </w:r>
          </w:p>
        </w:tc>
        <w:tc>
          <w:tcPr>
            <w:tcW w:w="9081" w:type="dxa"/>
          </w:tcPr>
          <w:p w14:paraId="78798B18" w14:textId="3ED3DC37" w:rsidR="000A62B6" w:rsidRPr="00A46498" w:rsidRDefault="000A62B6" w:rsidP="000A62B6">
            <w:pPr>
              <w:autoSpaceDE w:val="0"/>
              <w:autoSpaceDN w:val="0"/>
              <w:adjustRightInd w:val="0"/>
            </w:pPr>
            <w:r w:rsidRPr="00915FBD">
              <w:t xml:space="preserve"> </w:t>
            </w:r>
            <w:r w:rsidRPr="00915FBD">
              <w:rPr>
                <w:rFonts w:ascii="Times New Roman" w:eastAsia="Times New Roman" w:hAnsi="Times New Roman" w:cs="Times New Roman"/>
                <w:kern w:val="0"/>
                <w:sz w:val="22"/>
                <w:szCs w:val="22"/>
                <w14:ligatures w14:val="none"/>
              </w:rPr>
              <w:t xml:space="preserve">Ahmad G, Mahmood A, et al. Comparative evaluation of the effects of </w:t>
            </w:r>
            <w:proofErr w:type="spellStart"/>
            <w:r w:rsidRPr="00915FBD">
              <w:rPr>
                <w:rFonts w:ascii="Times New Roman" w:eastAsia="Times New Roman" w:hAnsi="Times New Roman" w:cs="Times New Roman"/>
                <w:kern w:val="0"/>
                <w:sz w:val="22"/>
                <w:szCs w:val="22"/>
                <w14:ligatures w14:val="none"/>
              </w:rPr>
              <w:t>Withania</w:t>
            </w:r>
            <w:proofErr w:type="spellEnd"/>
            <w:r w:rsidRPr="00915FBD">
              <w:rPr>
                <w:rFonts w:ascii="Times New Roman" w:eastAsia="Times New Roman" w:hAnsi="Times New Roman" w:cs="Times New Roman"/>
                <w:kern w:val="0"/>
                <w:sz w:val="22"/>
                <w:szCs w:val="22"/>
                <w14:ligatures w14:val="none"/>
              </w:rPr>
              <w:t xml:space="preserve"> </w:t>
            </w:r>
            <w:proofErr w:type="spellStart"/>
            <w:r w:rsidRPr="00915FBD">
              <w:rPr>
                <w:rFonts w:ascii="Times New Roman" w:eastAsia="Times New Roman" w:hAnsi="Times New Roman" w:cs="Times New Roman"/>
                <w:kern w:val="0"/>
                <w:sz w:val="22"/>
                <w:szCs w:val="22"/>
                <w14:ligatures w14:val="none"/>
              </w:rPr>
              <w:t>somnifera</w:t>
            </w:r>
            <w:proofErr w:type="spellEnd"/>
            <w:r w:rsidRPr="00915FBD">
              <w:rPr>
                <w:rFonts w:ascii="Times New Roman" w:eastAsia="Times New Roman" w:hAnsi="Times New Roman" w:cs="Times New Roman"/>
                <w:kern w:val="0"/>
                <w:sz w:val="22"/>
                <w:szCs w:val="22"/>
                <w14:ligatures w14:val="none"/>
              </w:rPr>
              <w:t xml:space="preserve"> with </w:t>
            </w:r>
            <w:proofErr w:type="spellStart"/>
            <w:r w:rsidRPr="00915FBD">
              <w:rPr>
                <w:rFonts w:ascii="Times New Roman" w:eastAsia="Times New Roman" w:hAnsi="Times New Roman" w:cs="Times New Roman"/>
                <w:kern w:val="0"/>
                <w:sz w:val="22"/>
                <w:szCs w:val="22"/>
                <w14:ligatures w14:val="none"/>
              </w:rPr>
              <w:t>pentoxifylline</w:t>
            </w:r>
            <w:proofErr w:type="spellEnd"/>
            <w:r w:rsidRPr="00915FBD">
              <w:rPr>
                <w:rFonts w:ascii="Times New Roman" w:eastAsia="Times New Roman" w:hAnsi="Times New Roman" w:cs="Times New Roman"/>
                <w:kern w:val="0"/>
                <w:sz w:val="22"/>
                <w:szCs w:val="22"/>
                <w14:ligatures w14:val="none"/>
              </w:rPr>
              <w:t xml:space="preserve"> on sperm parameters in idiopathic male infertility: a triple blind randomized clinical trial. </w:t>
            </w:r>
            <w:proofErr w:type="spellStart"/>
            <w:r w:rsidRPr="00915FBD">
              <w:rPr>
                <w:rFonts w:ascii="Times New Roman" w:eastAsia="Times New Roman" w:hAnsi="Times New Roman" w:cs="Times New Roman"/>
                <w:kern w:val="0"/>
                <w:sz w:val="22"/>
                <w:szCs w:val="22"/>
                <w14:ligatures w14:val="none"/>
              </w:rPr>
              <w:t>Int</w:t>
            </w:r>
            <w:proofErr w:type="spellEnd"/>
            <w:r w:rsidRPr="00915FBD">
              <w:rPr>
                <w:rFonts w:ascii="Times New Roman" w:eastAsia="Times New Roman" w:hAnsi="Times New Roman" w:cs="Times New Roman"/>
                <w:kern w:val="0"/>
                <w:sz w:val="22"/>
                <w:szCs w:val="22"/>
                <w14:ligatures w14:val="none"/>
              </w:rPr>
              <w:t xml:space="preserve"> J </w:t>
            </w:r>
            <w:proofErr w:type="spellStart"/>
            <w:r w:rsidRPr="00915FBD">
              <w:rPr>
                <w:rFonts w:ascii="Times New Roman" w:eastAsia="Times New Roman" w:hAnsi="Times New Roman" w:cs="Times New Roman"/>
                <w:kern w:val="0"/>
                <w:sz w:val="22"/>
                <w:szCs w:val="22"/>
                <w14:ligatures w14:val="none"/>
              </w:rPr>
              <w:t>Reprod</w:t>
            </w:r>
            <w:proofErr w:type="spellEnd"/>
            <w:r w:rsidRPr="00915FBD">
              <w:rPr>
                <w:rFonts w:ascii="Times New Roman" w:eastAsia="Times New Roman" w:hAnsi="Times New Roman" w:cs="Times New Roman"/>
                <w:kern w:val="0"/>
                <w:sz w:val="22"/>
                <w:szCs w:val="22"/>
                <w14:ligatures w14:val="none"/>
              </w:rPr>
              <w:t xml:space="preserve"> Biomed. 2018;16(12):771–778</w:t>
            </w:r>
          </w:p>
        </w:tc>
      </w:tr>
      <w:tr w:rsidR="000A62B6" w14:paraId="22BBAD7A" w14:textId="77777777" w:rsidTr="008A23AA">
        <w:tc>
          <w:tcPr>
            <w:tcW w:w="468" w:type="dxa"/>
          </w:tcPr>
          <w:p w14:paraId="44B81243" w14:textId="16CCBE6C" w:rsidR="000A62B6" w:rsidRDefault="000A62B6" w:rsidP="000A62B6">
            <w:pPr>
              <w:jc w:val="both"/>
            </w:pPr>
            <w:r>
              <w:t>[11]</w:t>
            </w:r>
          </w:p>
        </w:tc>
        <w:tc>
          <w:tcPr>
            <w:tcW w:w="9081" w:type="dxa"/>
          </w:tcPr>
          <w:p w14:paraId="64A18016" w14:textId="7EA039BA" w:rsidR="000A62B6" w:rsidRPr="00A46498" w:rsidRDefault="000A62B6" w:rsidP="000A62B6">
            <w:pPr>
              <w:autoSpaceDE w:val="0"/>
              <w:autoSpaceDN w:val="0"/>
              <w:adjustRightInd w:val="0"/>
            </w:pPr>
            <w:r w:rsidRPr="00915FBD">
              <w:t xml:space="preserve"> </w:t>
            </w:r>
            <w:r w:rsidRPr="00915FBD">
              <w:rPr>
                <w:rFonts w:ascii="Times New Roman" w:eastAsia="Times New Roman" w:hAnsi="Times New Roman" w:cs="Times New Roman"/>
                <w:kern w:val="0"/>
                <w:sz w:val="22"/>
                <w:szCs w:val="22"/>
                <w14:ligatures w14:val="none"/>
              </w:rPr>
              <w:t xml:space="preserve">Lee HW, </w:t>
            </w:r>
            <w:proofErr w:type="spellStart"/>
            <w:r w:rsidRPr="00915FBD">
              <w:rPr>
                <w:rFonts w:ascii="Times New Roman" w:eastAsia="Times New Roman" w:hAnsi="Times New Roman" w:cs="Times New Roman"/>
                <w:kern w:val="0"/>
                <w:sz w:val="22"/>
                <w:szCs w:val="22"/>
                <w14:ligatures w14:val="none"/>
              </w:rPr>
              <w:t>Kil</w:t>
            </w:r>
            <w:proofErr w:type="spellEnd"/>
            <w:r w:rsidRPr="00915FBD">
              <w:rPr>
                <w:rFonts w:ascii="Times New Roman" w:eastAsia="Times New Roman" w:hAnsi="Times New Roman" w:cs="Times New Roman"/>
                <w:kern w:val="0"/>
                <w:sz w:val="22"/>
                <w:szCs w:val="22"/>
                <w14:ligatures w14:val="none"/>
              </w:rPr>
              <w:t xml:space="preserve"> KJ, </w:t>
            </w:r>
            <w:proofErr w:type="spellStart"/>
            <w:r w:rsidRPr="00915FBD">
              <w:rPr>
                <w:rFonts w:ascii="Times New Roman" w:eastAsia="Times New Roman" w:hAnsi="Times New Roman" w:cs="Times New Roman"/>
                <w:kern w:val="0"/>
                <w:sz w:val="22"/>
                <w:szCs w:val="22"/>
                <w14:ligatures w14:val="none"/>
              </w:rPr>
              <w:t>Myeong</w:t>
            </w:r>
            <w:proofErr w:type="spellEnd"/>
            <w:r w:rsidRPr="00915FBD">
              <w:rPr>
                <w:rFonts w:ascii="Times New Roman" w:eastAsia="Times New Roman" w:hAnsi="Times New Roman" w:cs="Times New Roman"/>
                <w:kern w:val="0"/>
                <w:sz w:val="22"/>
                <w:szCs w:val="22"/>
                <w14:ligatures w14:val="none"/>
              </w:rPr>
              <w:t xml:space="preserve"> Soo L, et al. Ginseng for improving semen quality parameters: a systematic review. World J </w:t>
            </w:r>
            <w:proofErr w:type="spellStart"/>
            <w:r w:rsidRPr="00915FBD">
              <w:rPr>
                <w:rFonts w:ascii="Times New Roman" w:eastAsia="Times New Roman" w:hAnsi="Times New Roman" w:cs="Times New Roman"/>
                <w:kern w:val="0"/>
                <w:sz w:val="22"/>
                <w:szCs w:val="22"/>
                <w14:ligatures w14:val="none"/>
              </w:rPr>
              <w:t>Mens</w:t>
            </w:r>
            <w:proofErr w:type="spellEnd"/>
            <w:r w:rsidRPr="00915FBD">
              <w:rPr>
                <w:rFonts w:ascii="Times New Roman" w:eastAsia="Times New Roman" w:hAnsi="Times New Roman" w:cs="Times New Roman"/>
                <w:kern w:val="0"/>
                <w:sz w:val="22"/>
                <w:szCs w:val="22"/>
                <w14:ligatures w14:val="none"/>
              </w:rPr>
              <w:t xml:space="preserve"> Health. 2020;38(3):377–384</w:t>
            </w:r>
          </w:p>
        </w:tc>
      </w:tr>
      <w:tr w:rsidR="000A62B6" w14:paraId="77674F64" w14:textId="77777777" w:rsidTr="008A23AA">
        <w:tc>
          <w:tcPr>
            <w:tcW w:w="468" w:type="dxa"/>
          </w:tcPr>
          <w:p w14:paraId="185CD572" w14:textId="2C9313C0" w:rsidR="000A62B6" w:rsidRDefault="000A62B6" w:rsidP="000A62B6">
            <w:pPr>
              <w:jc w:val="both"/>
            </w:pPr>
            <w:r>
              <w:lastRenderedPageBreak/>
              <w:t>[12]</w:t>
            </w:r>
          </w:p>
        </w:tc>
        <w:tc>
          <w:tcPr>
            <w:tcW w:w="9081" w:type="dxa"/>
          </w:tcPr>
          <w:p w14:paraId="3C753461" w14:textId="01E3B371" w:rsidR="000A62B6" w:rsidRPr="00A46498" w:rsidRDefault="000A62B6" w:rsidP="000A62B6">
            <w:pPr>
              <w:autoSpaceDE w:val="0"/>
              <w:autoSpaceDN w:val="0"/>
              <w:adjustRightInd w:val="0"/>
            </w:pPr>
            <w:proofErr w:type="spellStart"/>
            <w:r w:rsidRPr="00915FBD">
              <w:rPr>
                <w:rFonts w:ascii="Times New Roman" w:eastAsia="Times New Roman" w:hAnsi="Times New Roman" w:cs="Times New Roman"/>
                <w:kern w:val="0"/>
                <w:sz w:val="22"/>
                <w:szCs w:val="22"/>
                <w14:ligatures w14:val="none"/>
              </w:rPr>
              <w:t>Abbasi</w:t>
            </w:r>
            <w:proofErr w:type="spellEnd"/>
            <w:r w:rsidRPr="00915FBD">
              <w:rPr>
                <w:rFonts w:ascii="Times New Roman" w:eastAsia="Times New Roman" w:hAnsi="Times New Roman" w:cs="Times New Roman"/>
                <w:kern w:val="0"/>
                <w:sz w:val="22"/>
                <w:szCs w:val="22"/>
                <w14:ligatures w14:val="none"/>
              </w:rPr>
              <w:t xml:space="preserve"> B, </w:t>
            </w:r>
            <w:proofErr w:type="spellStart"/>
            <w:r w:rsidRPr="00915FBD">
              <w:rPr>
                <w:rFonts w:ascii="Times New Roman" w:eastAsia="Times New Roman" w:hAnsi="Times New Roman" w:cs="Times New Roman"/>
                <w:kern w:val="0"/>
                <w:sz w:val="22"/>
                <w:szCs w:val="22"/>
                <w14:ligatures w14:val="none"/>
              </w:rPr>
              <w:t>Abbasi</w:t>
            </w:r>
            <w:proofErr w:type="spellEnd"/>
            <w:r w:rsidRPr="00915FBD">
              <w:rPr>
                <w:rFonts w:ascii="Times New Roman" w:eastAsia="Times New Roman" w:hAnsi="Times New Roman" w:cs="Times New Roman"/>
                <w:kern w:val="0"/>
                <w:sz w:val="22"/>
                <w:szCs w:val="22"/>
                <w14:ligatures w14:val="none"/>
              </w:rPr>
              <w:t xml:space="preserve"> H, </w:t>
            </w:r>
            <w:proofErr w:type="spellStart"/>
            <w:r w:rsidRPr="00915FBD">
              <w:rPr>
                <w:rFonts w:ascii="Times New Roman" w:eastAsia="Times New Roman" w:hAnsi="Times New Roman" w:cs="Times New Roman"/>
                <w:kern w:val="0"/>
                <w:sz w:val="22"/>
                <w:szCs w:val="22"/>
                <w14:ligatures w14:val="none"/>
              </w:rPr>
              <w:t>Niroumand</w:t>
            </w:r>
            <w:proofErr w:type="spellEnd"/>
            <w:r w:rsidRPr="00915FBD">
              <w:rPr>
                <w:rFonts w:ascii="Times New Roman" w:eastAsia="Times New Roman" w:hAnsi="Times New Roman" w:cs="Times New Roman"/>
                <w:kern w:val="0"/>
                <w:sz w:val="22"/>
                <w:szCs w:val="22"/>
                <w14:ligatures w14:val="none"/>
              </w:rPr>
              <w:t xml:space="preserve"> H. </w:t>
            </w:r>
            <w:proofErr w:type="spellStart"/>
            <w:r w:rsidRPr="00915FBD">
              <w:rPr>
                <w:rFonts w:ascii="Times New Roman" w:eastAsia="Times New Roman" w:hAnsi="Times New Roman" w:cs="Times New Roman"/>
                <w:kern w:val="0"/>
                <w:sz w:val="22"/>
                <w:szCs w:val="22"/>
                <w14:ligatures w14:val="none"/>
              </w:rPr>
              <w:t>Synbiotic</w:t>
            </w:r>
            <w:proofErr w:type="spellEnd"/>
            <w:r w:rsidRPr="00915FBD">
              <w:rPr>
                <w:rFonts w:ascii="Times New Roman" w:eastAsia="Times New Roman" w:hAnsi="Times New Roman" w:cs="Times New Roman"/>
                <w:kern w:val="0"/>
                <w:sz w:val="22"/>
                <w:szCs w:val="22"/>
                <w14:ligatures w14:val="none"/>
              </w:rPr>
              <w:t xml:space="preserve"> (</w:t>
            </w:r>
            <w:proofErr w:type="spellStart"/>
            <w:r w:rsidRPr="00915FBD">
              <w:rPr>
                <w:rFonts w:ascii="Times New Roman" w:eastAsia="Times New Roman" w:hAnsi="Times New Roman" w:cs="Times New Roman"/>
                <w:kern w:val="0"/>
                <w:sz w:val="22"/>
                <w:szCs w:val="22"/>
                <w14:ligatures w14:val="none"/>
              </w:rPr>
              <w:t>FamiLact</w:t>
            </w:r>
            <w:proofErr w:type="spellEnd"/>
            <w:r w:rsidRPr="00915FBD">
              <w:rPr>
                <w:rFonts w:ascii="Times New Roman" w:eastAsia="Times New Roman" w:hAnsi="Times New Roman" w:cs="Times New Roman"/>
                <w:kern w:val="0"/>
                <w:sz w:val="22"/>
                <w:szCs w:val="22"/>
                <w14:ligatures w14:val="none"/>
              </w:rPr>
              <w:t xml:space="preserve">) administration in idiopathic male infertility enhances sperm quality, DNA integrity, and chromatin status: a triple blinded randomized clinical trial. </w:t>
            </w:r>
            <w:proofErr w:type="spellStart"/>
            <w:r w:rsidRPr="00915FBD">
              <w:rPr>
                <w:rFonts w:ascii="Times New Roman" w:eastAsia="Times New Roman" w:hAnsi="Times New Roman" w:cs="Times New Roman"/>
                <w:kern w:val="0"/>
                <w:sz w:val="22"/>
                <w:szCs w:val="22"/>
                <w14:ligatures w14:val="none"/>
              </w:rPr>
              <w:t>Int</w:t>
            </w:r>
            <w:proofErr w:type="spellEnd"/>
            <w:r w:rsidRPr="00915FBD">
              <w:rPr>
                <w:rFonts w:ascii="Times New Roman" w:eastAsia="Times New Roman" w:hAnsi="Times New Roman" w:cs="Times New Roman"/>
                <w:kern w:val="0"/>
                <w:sz w:val="22"/>
                <w:szCs w:val="22"/>
                <w14:ligatures w14:val="none"/>
              </w:rPr>
              <w:t xml:space="preserve"> J </w:t>
            </w:r>
            <w:proofErr w:type="spellStart"/>
            <w:r w:rsidRPr="00915FBD">
              <w:rPr>
                <w:rFonts w:ascii="Times New Roman" w:eastAsia="Times New Roman" w:hAnsi="Times New Roman" w:cs="Times New Roman"/>
                <w:kern w:val="0"/>
                <w:sz w:val="22"/>
                <w:szCs w:val="22"/>
                <w14:ligatures w14:val="none"/>
              </w:rPr>
              <w:t>Reprod</w:t>
            </w:r>
            <w:proofErr w:type="spellEnd"/>
            <w:r w:rsidRPr="00915FBD">
              <w:rPr>
                <w:rFonts w:ascii="Times New Roman" w:eastAsia="Times New Roman" w:hAnsi="Times New Roman" w:cs="Times New Roman"/>
                <w:kern w:val="0"/>
                <w:sz w:val="22"/>
                <w:szCs w:val="22"/>
                <w14:ligatures w14:val="none"/>
              </w:rPr>
              <w:t xml:space="preserve"> Biomed. 2021;19:235–244</w:t>
            </w:r>
          </w:p>
        </w:tc>
      </w:tr>
      <w:tr w:rsidR="000A62B6" w14:paraId="0B66C557" w14:textId="77777777" w:rsidTr="008A23AA">
        <w:tc>
          <w:tcPr>
            <w:tcW w:w="468" w:type="dxa"/>
          </w:tcPr>
          <w:p w14:paraId="4E4EE55E" w14:textId="14BC413C" w:rsidR="000A62B6" w:rsidRDefault="000A62B6" w:rsidP="000A62B6">
            <w:pPr>
              <w:jc w:val="both"/>
            </w:pPr>
            <w:r>
              <w:t>[13]</w:t>
            </w:r>
          </w:p>
        </w:tc>
        <w:tc>
          <w:tcPr>
            <w:tcW w:w="9081" w:type="dxa"/>
          </w:tcPr>
          <w:p w14:paraId="43C22DE0" w14:textId="1A66C750" w:rsidR="000A62B6" w:rsidRPr="00A46498" w:rsidRDefault="000A62B6" w:rsidP="000A62B6">
            <w:pPr>
              <w:autoSpaceDE w:val="0"/>
              <w:autoSpaceDN w:val="0"/>
              <w:adjustRightInd w:val="0"/>
            </w:pPr>
            <w:proofErr w:type="spellStart"/>
            <w:r w:rsidRPr="00915FBD">
              <w:rPr>
                <w:rFonts w:ascii="Times New Roman" w:eastAsia="Times New Roman" w:hAnsi="Times New Roman" w:cs="Times New Roman"/>
                <w:kern w:val="0"/>
                <w:sz w:val="22"/>
                <w:szCs w:val="22"/>
                <w14:ligatures w14:val="none"/>
              </w:rPr>
              <w:t>Abbasi</w:t>
            </w:r>
            <w:proofErr w:type="spellEnd"/>
            <w:r w:rsidRPr="00915FBD">
              <w:rPr>
                <w:rFonts w:ascii="Times New Roman" w:eastAsia="Times New Roman" w:hAnsi="Times New Roman" w:cs="Times New Roman"/>
                <w:kern w:val="0"/>
                <w:sz w:val="22"/>
                <w:szCs w:val="22"/>
                <w14:ligatures w14:val="none"/>
              </w:rPr>
              <w:t xml:space="preserve"> B, </w:t>
            </w:r>
            <w:proofErr w:type="spellStart"/>
            <w:r w:rsidRPr="00915FBD">
              <w:rPr>
                <w:rFonts w:ascii="Times New Roman" w:eastAsia="Times New Roman" w:hAnsi="Times New Roman" w:cs="Times New Roman"/>
                <w:kern w:val="0"/>
                <w:sz w:val="22"/>
                <w:szCs w:val="22"/>
                <w14:ligatures w14:val="none"/>
              </w:rPr>
              <w:t>Ghafouri</w:t>
            </w:r>
            <w:proofErr w:type="spellEnd"/>
            <w:r w:rsidRPr="00915FBD">
              <w:rPr>
                <w:rFonts w:ascii="Times New Roman" w:eastAsia="Times New Roman" w:hAnsi="Times New Roman" w:cs="Times New Roman"/>
                <w:kern w:val="0"/>
                <w:sz w:val="22"/>
                <w:szCs w:val="22"/>
                <w14:ligatures w14:val="none"/>
              </w:rPr>
              <w:t xml:space="preserve"> </w:t>
            </w:r>
            <w:proofErr w:type="spellStart"/>
            <w:r w:rsidRPr="00915FBD">
              <w:rPr>
                <w:rFonts w:ascii="Times New Roman" w:eastAsia="Times New Roman" w:hAnsi="Times New Roman" w:cs="Times New Roman"/>
                <w:kern w:val="0"/>
                <w:sz w:val="22"/>
                <w:szCs w:val="22"/>
                <w14:ligatures w14:val="none"/>
              </w:rPr>
              <w:t>Fard</w:t>
            </w:r>
            <w:proofErr w:type="spellEnd"/>
            <w:r w:rsidRPr="00915FBD">
              <w:rPr>
                <w:rFonts w:ascii="Times New Roman" w:eastAsia="Times New Roman" w:hAnsi="Times New Roman" w:cs="Times New Roman"/>
                <w:kern w:val="0"/>
                <w:sz w:val="22"/>
                <w:szCs w:val="22"/>
                <w14:ligatures w14:val="none"/>
              </w:rPr>
              <w:t xml:space="preserve"> S, </w:t>
            </w:r>
            <w:proofErr w:type="spellStart"/>
            <w:r w:rsidRPr="00915FBD">
              <w:rPr>
                <w:rFonts w:ascii="Times New Roman" w:eastAsia="Times New Roman" w:hAnsi="Times New Roman" w:cs="Times New Roman"/>
                <w:kern w:val="0"/>
                <w:sz w:val="22"/>
                <w:szCs w:val="22"/>
                <w14:ligatures w14:val="none"/>
              </w:rPr>
              <w:t>Mohammadi</w:t>
            </w:r>
            <w:proofErr w:type="spellEnd"/>
            <w:r w:rsidRPr="00915FBD">
              <w:rPr>
                <w:rFonts w:ascii="Times New Roman" w:eastAsia="Times New Roman" w:hAnsi="Times New Roman" w:cs="Times New Roman"/>
                <w:kern w:val="0"/>
                <w:sz w:val="22"/>
                <w:szCs w:val="22"/>
                <w14:ligatures w14:val="none"/>
              </w:rPr>
              <w:t xml:space="preserve"> F, </w:t>
            </w:r>
            <w:proofErr w:type="spellStart"/>
            <w:r w:rsidRPr="00915FBD">
              <w:rPr>
                <w:rFonts w:ascii="Times New Roman" w:eastAsia="Times New Roman" w:hAnsi="Times New Roman" w:cs="Times New Roman"/>
                <w:kern w:val="0"/>
                <w:sz w:val="22"/>
                <w:szCs w:val="22"/>
                <w14:ligatures w14:val="none"/>
              </w:rPr>
              <w:t>Saidijam</w:t>
            </w:r>
            <w:proofErr w:type="spellEnd"/>
            <w:r w:rsidRPr="00915FBD">
              <w:rPr>
                <w:rFonts w:ascii="Times New Roman" w:eastAsia="Times New Roman" w:hAnsi="Times New Roman" w:cs="Times New Roman"/>
                <w:kern w:val="0"/>
                <w:sz w:val="22"/>
                <w:szCs w:val="22"/>
                <w14:ligatures w14:val="none"/>
              </w:rPr>
              <w:t xml:space="preserve"> M, </w:t>
            </w:r>
            <w:proofErr w:type="spellStart"/>
            <w:r w:rsidRPr="00915FBD">
              <w:rPr>
                <w:rFonts w:ascii="Times New Roman" w:eastAsia="Times New Roman" w:hAnsi="Times New Roman" w:cs="Times New Roman"/>
                <w:kern w:val="0"/>
                <w:sz w:val="22"/>
                <w:szCs w:val="22"/>
                <w14:ligatures w14:val="none"/>
              </w:rPr>
              <w:t>Hadizadeh</w:t>
            </w:r>
            <w:proofErr w:type="spellEnd"/>
            <w:r w:rsidRPr="00915FBD">
              <w:rPr>
                <w:rFonts w:ascii="Times New Roman" w:eastAsia="Times New Roman" w:hAnsi="Times New Roman" w:cs="Times New Roman"/>
                <w:kern w:val="0"/>
                <w:sz w:val="22"/>
                <w:szCs w:val="22"/>
                <w14:ligatures w14:val="none"/>
              </w:rPr>
              <w:t xml:space="preserve"> F, </w:t>
            </w:r>
            <w:proofErr w:type="spellStart"/>
            <w:r w:rsidRPr="00915FBD">
              <w:rPr>
                <w:rFonts w:ascii="Times New Roman" w:eastAsia="Times New Roman" w:hAnsi="Times New Roman" w:cs="Times New Roman"/>
                <w:kern w:val="0"/>
                <w:sz w:val="22"/>
                <w:szCs w:val="22"/>
                <w14:ligatures w14:val="none"/>
              </w:rPr>
              <w:t>Niroumand</w:t>
            </w:r>
            <w:proofErr w:type="spellEnd"/>
            <w:r w:rsidRPr="00915FBD">
              <w:rPr>
                <w:rFonts w:ascii="Times New Roman" w:eastAsia="Times New Roman" w:hAnsi="Times New Roman" w:cs="Times New Roman"/>
                <w:kern w:val="0"/>
                <w:sz w:val="22"/>
                <w:szCs w:val="22"/>
                <w14:ligatures w14:val="none"/>
              </w:rPr>
              <w:t xml:space="preserve"> H. Probiotics supplementation in idiopathic </w:t>
            </w:r>
            <w:proofErr w:type="spellStart"/>
            <w:r w:rsidRPr="00915FBD">
              <w:rPr>
                <w:rFonts w:ascii="Times New Roman" w:eastAsia="Times New Roman" w:hAnsi="Times New Roman" w:cs="Times New Roman"/>
                <w:kern w:val="0"/>
                <w:sz w:val="22"/>
                <w:szCs w:val="22"/>
                <w14:ligatures w14:val="none"/>
              </w:rPr>
              <w:t>oligoasthenoteratozoospermic</w:t>
            </w:r>
            <w:proofErr w:type="spellEnd"/>
            <w:r w:rsidRPr="00915FBD">
              <w:rPr>
                <w:rFonts w:ascii="Times New Roman" w:eastAsia="Times New Roman" w:hAnsi="Times New Roman" w:cs="Times New Roman"/>
                <w:kern w:val="0"/>
                <w:sz w:val="22"/>
                <w:szCs w:val="22"/>
                <w14:ligatures w14:val="none"/>
              </w:rPr>
              <w:t xml:space="preserve"> men improves semen parameters, reduces oxidative stress, and inflammation: a randomized, double blind, placebo controlled study. Egg &amp; Spermatogenesis. 2020; (article)</w:t>
            </w:r>
          </w:p>
        </w:tc>
      </w:tr>
      <w:tr w:rsidR="000A62B6" w14:paraId="25925C61" w14:textId="77777777" w:rsidTr="008A23AA">
        <w:tc>
          <w:tcPr>
            <w:tcW w:w="468" w:type="dxa"/>
          </w:tcPr>
          <w:p w14:paraId="552A4A59" w14:textId="38EB52C5" w:rsidR="000A62B6" w:rsidRDefault="000A62B6" w:rsidP="000A62B6">
            <w:pPr>
              <w:jc w:val="both"/>
            </w:pPr>
            <w:r>
              <w:t>[14]</w:t>
            </w:r>
          </w:p>
        </w:tc>
        <w:tc>
          <w:tcPr>
            <w:tcW w:w="9081" w:type="dxa"/>
          </w:tcPr>
          <w:p w14:paraId="52731FA8" w14:textId="32496B20" w:rsidR="000A62B6" w:rsidRPr="00915FBD" w:rsidRDefault="000A62B6" w:rsidP="000A62B6">
            <w:pPr>
              <w:autoSpaceDE w:val="0"/>
              <w:autoSpaceDN w:val="0"/>
              <w:adjustRightInd w:val="0"/>
            </w:pPr>
            <w:proofErr w:type="spellStart"/>
            <w:r w:rsidRPr="00B47551">
              <w:rPr>
                <w:rFonts w:ascii="Times New Roman" w:eastAsia="Times New Roman" w:hAnsi="Times New Roman" w:cs="Times New Roman"/>
                <w:kern w:val="0"/>
                <w:sz w:val="22"/>
                <w:szCs w:val="22"/>
                <w14:ligatures w14:val="none"/>
              </w:rPr>
              <w:t>Kaltsas</w:t>
            </w:r>
            <w:proofErr w:type="spellEnd"/>
            <w:r w:rsidRPr="00B47551">
              <w:rPr>
                <w:rFonts w:ascii="Times New Roman" w:eastAsia="Times New Roman" w:hAnsi="Times New Roman" w:cs="Times New Roman"/>
                <w:kern w:val="0"/>
                <w:sz w:val="22"/>
                <w:szCs w:val="22"/>
                <w14:ligatures w14:val="none"/>
              </w:rPr>
              <w:t xml:space="preserve"> A, </w:t>
            </w:r>
            <w:proofErr w:type="spellStart"/>
            <w:r w:rsidRPr="00B47551">
              <w:rPr>
                <w:rFonts w:ascii="Times New Roman" w:eastAsia="Times New Roman" w:hAnsi="Times New Roman" w:cs="Times New Roman"/>
                <w:kern w:val="0"/>
                <w:sz w:val="22"/>
                <w:szCs w:val="22"/>
                <w14:ligatures w14:val="none"/>
              </w:rPr>
              <w:t>Giannakodimos</w:t>
            </w:r>
            <w:proofErr w:type="spellEnd"/>
            <w:r w:rsidRPr="00B47551">
              <w:rPr>
                <w:rFonts w:ascii="Times New Roman" w:eastAsia="Times New Roman" w:hAnsi="Times New Roman" w:cs="Times New Roman"/>
                <w:kern w:val="0"/>
                <w:sz w:val="22"/>
                <w:szCs w:val="22"/>
                <w14:ligatures w14:val="none"/>
              </w:rPr>
              <w:t xml:space="preserve"> I, </w:t>
            </w:r>
            <w:proofErr w:type="spellStart"/>
            <w:r w:rsidRPr="00B47551">
              <w:rPr>
                <w:rFonts w:ascii="Times New Roman" w:eastAsia="Times New Roman" w:hAnsi="Times New Roman" w:cs="Times New Roman"/>
                <w:kern w:val="0"/>
                <w:sz w:val="22"/>
                <w:szCs w:val="22"/>
                <w14:ligatures w14:val="none"/>
              </w:rPr>
              <w:t>Markou</w:t>
            </w:r>
            <w:proofErr w:type="spellEnd"/>
            <w:r w:rsidRPr="00B47551">
              <w:rPr>
                <w:rFonts w:ascii="Times New Roman" w:eastAsia="Times New Roman" w:hAnsi="Times New Roman" w:cs="Times New Roman"/>
                <w:kern w:val="0"/>
                <w:sz w:val="22"/>
                <w:szCs w:val="22"/>
                <w14:ligatures w14:val="none"/>
              </w:rPr>
              <w:t xml:space="preserve"> E, Stavropoulos M, </w:t>
            </w:r>
            <w:proofErr w:type="spellStart"/>
            <w:r w:rsidRPr="00B47551">
              <w:rPr>
                <w:rFonts w:ascii="Times New Roman" w:eastAsia="Times New Roman" w:hAnsi="Times New Roman" w:cs="Times New Roman"/>
                <w:kern w:val="0"/>
                <w:sz w:val="22"/>
                <w:szCs w:val="22"/>
                <w14:ligatures w14:val="none"/>
              </w:rPr>
              <w:t>Deligiannis</w:t>
            </w:r>
            <w:proofErr w:type="spellEnd"/>
            <w:r w:rsidRPr="00B47551">
              <w:rPr>
                <w:rFonts w:ascii="Times New Roman" w:eastAsia="Times New Roman" w:hAnsi="Times New Roman" w:cs="Times New Roman"/>
                <w:kern w:val="0"/>
                <w:sz w:val="22"/>
                <w:szCs w:val="22"/>
                <w14:ligatures w14:val="none"/>
              </w:rPr>
              <w:t xml:space="preserve"> D, </w:t>
            </w:r>
            <w:proofErr w:type="spellStart"/>
            <w:r w:rsidRPr="00B47551">
              <w:rPr>
                <w:rFonts w:ascii="Times New Roman" w:eastAsia="Times New Roman" w:hAnsi="Times New Roman" w:cs="Times New Roman"/>
                <w:kern w:val="0"/>
                <w:sz w:val="22"/>
                <w:szCs w:val="22"/>
                <w14:ligatures w14:val="none"/>
              </w:rPr>
              <w:t>Kratiras</w:t>
            </w:r>
            <w:proofErr w:type="spellEnd"/>
            <w:r w:rsidRPr="00B47551">
              <w:rPr>
                <w:rFonts w:ascii="Times New Roman" w:eastAsia="Times New Roman" w:hAnsi="Times New Roman" w:cs="Times New Roman"/>
                <w:kern w:val="0"/>
                <w:sz w:val="22"/>
                <w:szCs w:val="22"/>
                <w14:ligatures w14:val="none"/>
              </w:rPr>
              <w:t xml:space="preserve"> Z, </w:t>
            </w:r>
            <w:proofErr w:type="spellStart"/>
            <w:r w:rsidRPr="00B47551">
              <w:rPr>
                <w:rFonts w:ascii="Times New Roman" w:eastAsia="Times New Roman" w:hAnsi="Times New Roman" w:cs="Times New Roman"/>
                <w:kern w:val="0"/>
                <w:sz w:val="22"/>
                <w:szCs w:val="22"/>
                <w14:ligatures w14:val="none"/>
              </w:rPr>
              <w:t>Chrisofos</w:t>
            </w:r>
            <w:proofErr w:type="spellEnd"/>
            <w:r w:rsidRPr="00B47551">
              <w:rPr>
                <w:rFonts w:ascii="Times New Roman" w:eastAsia="Times New Roman" w:hAnsi="Times New Roman" w:cs="Times New Roman"/>
                <w:kern w:val="0"/>
                <w:sz w:val="22"/>
                <w:szCs w:val="22"/>
                <w14:ligatures w14:val="none"/>
              </w:rPr>
              <w:t xml:space="preserve"> M. The </w:t>
            </w:r>
            <w:proofErr w:type="spellStart"/>
            <w:r w:rsidRPr="00B47551">
              <w:rPr>
                <w:rFonts w:ascii="Times New Roman" w:eastAsia="Times New Roman" w:hAnsi="Times New Roman" w:cs="Times New Roman"/>
                <w:kern w:val="0"/>
                <w:sz w:val="22"/>
                <w:szCs w:val="22"/>
                <w14:ligatures w14:val="none"/>
              </w:rPr>
              <w:t>androbactome</w:t>
            </w:r>
            <w:proofErr w:type="spellEnd"/>
            <w:r w:rsidRPr="00B47551">
              <w:rPr>
                <w:rFonts w:ascii="Times New Roman" w:eastAsia="Times New Roman" w:hAnsi="Times New Roman" w:cs="Times New Roman"/>
                <w:kern w:val="0"/>
                <w:sz w:val="22"/>
                <w:szCs w:val="22"/>
                <w14:ligatures w14:val="none"/>
              </w:rPr>
              <w:t xml:space="preserve"> and the gut microbiota–testis axis: a narrative review of emerging insights into male fertility. </w:t>
            </w:r>
            <w:proofErr w:type="spellStart"/>
            <w:r w:rsidRPr="00B47551">
              <w:rPr>
                <w:rFonts w:ascii="Times New Roman" w:eastAsia="Times New Roman" w:hAnsi="Times New Roman" w:cs="Times New Roman"/>
                <w:kern w:val="0"/>
                <w:sz w:val="22"/>
                <w:szCs w:val="22"/>
                <w14:ligatures w14:val="none"/>
              </w:rPr>
              <w:t>Int</w:t>
            </w:r>
            <w:proofErr w:type="spellEnd"/>
            <w:r w:rsidRPr="00B47551">
              <w:rPr>
                <w:rFonts w:ascii="Times New Roman" w:eastAsia="Times New Roman" w:hAnsi="Times New Roman" w:cs="Times New Roman"/>
                <w:kern w:val="0"/>
                <w:sz w:val="22"/>
                <w:szCs w:val="22"/>
                <w14:ligatures w14:val="none"/>
              </w:rPr>
              <w:t xml:space="preserve"> J </w:t>
            </w:r>
            <w:proofErr w:type="spellStart"/>
            <w:r w:rsidRPr="00B47551">
              <w:rPr>
                <w:rFonts w:ascii="Times New Roman" w:eastAsia="Times New Roman" w:hAnsi="Times New Roman" w:cs="Times New Roman"/>
                <w:kern w:val="0"/>
                <w:sz w:val="22"/>
                <w:szCs w:val="22"/>
                <w14:ligatures w14:val="none"/>
              </w:rPr>
              <w:t>Mol</w:t>
            </w:r>
            <w:proofErr w:type="spellEnd"/>
            <w:r w:rsidRPr="00B47551">
              <w:rPr>
                <w:rFonts w:ascii="Times New Roman" w:eastAsia="Times New Roman" w:hAnsi="Times New Roman" w:cs="Times New Roman"/>
                <w:kern w:val="0"/>
                <w:sz w:val="22"/>
                <w:szCs w:val="22"/>
                <w14:ligatures w14:val="none"/>
              </w:rPr>
              <w:t xml:space="preserve"> Sci. 2025;26(13):6211. doi:10.3390/ijms26136211</w:t>
            </w:r>
          </w:p>
        </w:tc>
      </w:tr>
      <w:tr w:rsidR="000A62B6" w14:paraId="4346AA58" w14:textId="77777777" w:rsidTr="008A23AA">
        <w:tc>
          <w:tcPr>
            <w:tcW w:w="468" w:type="dxa"/>
          </w:tcPr>
          <w:p w14:paraId="612D470A" w14:textId="4C2A7E35" w:rsidR="000A62B6" w:rsidRDefault="000A62B6" w:rsidP="000A62B6">
            <w:pPr>
              <w:jc w:val="both"/>
            </w:pPr>
            <w:r>
              <w:t>[15]</w:t>
            </w:r>
          </w:p>
        </w:tc>
        <w:tc>
          <w:tcPr>
            <w:tcW w:w="9081" w:type="dxa"/>
          </w:tcPr>
          <w:p w14:paraId="210B22E7" w14:textId="0D28DCA7" w:rsidR="000A62B6" w:rsidRPr="00915FBD" w:rsidRDefault="000A62B6" w:rsidP="000A62B6">
            <w:pPr>
              <w:autoSpaceDE w:val="0"/>
              <w:autoSpaceDN w:val="0"/>
              <w:adjustRightInd w:val="0"/>
            </w:pPr>
            <w:r w:rsidRPr="00B47551">
              <w:rPr>
                <w:rFonts w:ascii="Times New Roman" w:eastAsia="Times New Roman" w:hAnsi="Times New Roman" w:cs="Times New Roman"/>
                <w:kern w:val="0"/>
                <w:sz w:val="22"/>
                <w:szCs w:val="22"/>
                <w14:ligatures w14:val="none"/>
              </w:rPr>
              <w:t xml:space="preserve">de Oliveira LCS, Costa EC, Martins FDG, Rocha AS, </w:t>
            </w:r>
            <w:proofErr w:type="spellStart"/>
            <w:r w:rsidRPr="00B47551">
              <w:rPr>
                <w:rFonts w:ascii="Times New Roman" w:eastAsia="Times New Roman" w:hAnsi="Times New Roman" w:cs="Times New Roman"/>
                <w:kern w:val="0"/>
                <w:sz w:val="22"/>
                <w:szCs w:val="22"/>
                <w14:ligatures w14:val="none"/>
              </w:rPr>
              <w:t>Brasil</w:t>
            </w:r>
            <w:proofErr w:type="spellEnd"/>
            <w:r w:rsidRPr="00B47551">
              <w:rPr>
                <w:rFonts w:ascii="Times New Roman" w:eastAsia="Times New Roman" w:hAnsi="Times New Roman" w:cs="Times New Roman"/>
                <w:kern w:val="0"/>
                <w:sz w:val="22"/>
                <w:szCs w:val="22"/>
                <w14:ligatures w14:val="none"/>
              </w:rPr>
              <w:t xml:space="preserve"> G. Probiotics supplementation in the treatment of male infertility: a systematic review. JBRA Assist </w:t>
            </w:r>
            <w:proofErr w:type="spellStart"/>
            <w:r w:rsidRPr="00B47551">
              <w:rPr>
                <w:rFonts w:ascii="Times New Roman" w:eastAsia="Times New Roman" w:hAnsi="Times New Roman" w:cs="Times New Roman"/>
                <w:kern w:val="0"/>
                <w:sz w:val="22"/>
                <w:szCs w:val="22"/>
                <w14:ligatures w14:val="none"/>
              </w:rPr>
              <w:t>Reprod</w:t>
            </w:r>
            <w:proofErr w:type="spellEnd"/>
            <w:r w:rsidRPr="00B47551">
              <w:rPr>
                <w:rFonts w:ascii="Times New Roman" w:eastAsia="Times New Roman" w:hAnsi="Times New Roman" w:cs="Times New Roman"/>
                <w:kern w:val="0"/>
                <w:sz w:val="22"/>
                <w:szCs w:val="22"/>
                <w14:ligatures w14:val="none"/>
              </w:rPr>
              <w:t>. 2024;28(2):341–348. doi:10.5935/1518-0557.20240013</w:t>
            </w:r>
          </w:p>
        </w:tc>
      </w:tr>
    </w:tbl>
    <w:p w14:paraId="0275A2AC" w14:textId="77777777" w:rsidR="000A62B6" w:rsidRPr="001E10EC" w:rsidRDefault="000A62B6" w:rsidP="000A62B6">
      <w:pPr>
        <w:bidi/>
        <w:jc w:val="right"/>
        <w:rPr>
          <w:rFonts w:asciiTheme="majorBidi" w:hAnsiTheme="majorBidi" w:cstheme="majorBidi"/>
          <w:b/>
          <w:bCs/>
          <w:sz w:val="22"/>
          <w:szCs w:val="22"/>
          <w:rtl/>
        </w:rPr>
      </w:pPr>
    </w:p>
    <w:p w14:paraId="50B6A521" w14:textId="77777777" w:rsidR="00A10951" w:rsidRPr="001E10EC" w:rsidRDefault="00A10951" w:rsidP="00A10951">
      <w:pPr>
        <w:bidi/>
        <w:jc w:val="right"/>
        <w:rPr>
          <w:rFonts w:asciiTheme="majorBidi" w:hAnsiTheme="majorBidi" w:cstheme="majorBidi"/>
          <w:b/>
          <w:bCs/>
          <w:sz w:val="22"/>
          <w:szCs w:val="22"/>
        </w:rPr>
      </w:pPr>
      <w:bookmarkStart w:id="0" w:name="_GoBack"/>
      <w:bookmarkEnd w:id="0"/>
    </w:p>
    <w:sectPr w:rsidR="00A10951" w:rsidRPr="001E10EC">
      <w:head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20C8A" w14:textId="77777777" w:rsidR="00897AF0" w:rsidRDefault="00897AF0" w:rsidP="00252B62">
      <w:pPr>
        <w:spacing w:after="0" w:line="240" w:lineRule="auto"/>
      </w:pPr>
      <w:r>
        <w:separator/>
      </w:r>
    </w:p>
  </w:endnote>
  <w:endnote w:type="continuationSeparator" w:id="0">
    <w:p w14:paraId="5030D208" w14:textId="77777777" w:rsidR="00897AF0" w:rsidRDefault="00897AF0" w:rsidP="00252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63638" w14:textId="77777777" w:rsidR="00897AF0" w:rsidRDefault="00897AF0" w:rsidP="00252B62">
      <w:pPr>
        <w:spacing w:after="0" w:line="240" w:lineRule="auto"/>
      </w:pPr>
      <w:r>
        <w:separator/>
      </w:r>
    </w:p>
  </w:footnote>
  <w:footnote w:type="continuationSeparator" w:id="0">
    <w:p w14:paraId="4FE192B8" w14:textId="77777777" w:rsidR="00897AF0" w:rsidRDefault="00897AF0" w:rsidP="00252B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D3B23" w14:textId="77777777" w:rsidR="005E550F" w:rsidRDefault="005E550F" w:rsidP="005E550F">
    <w:pPr>
      <w:pStyle w:val="NormalWeb"/>
    </w:pPr>
    <w:r>
      <w:rPr>
        <w:noProof/>
      </w:rPr>
      <w:drawing>
        <wp:inline distT="0" distB="0" distL="0" distR="0" wp14:anchorId="64C293E1" wp14:editId="17AFFEF3">
          <wp:extent cx="5943600" cy="7689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68985"/>
                  </a:xfrm>
                  <a:prstGeom prst="rect">
                    <a:avLst/>
                  </a:prstGeom>
                  <a:noFill/>
                  <a:ln>
                    <a:noFill/>
                  </a:ln>
                </pic:spPr>
              </pic:pic>
            </a:graphicData>
          </a:graphic>
        </wp:inline>
      </w:drawing>
    </w:r>
  </w:p>
  <w:p w14:paraId="1D99374C" w14:textId="77777777" w:rsidR="005E550F" w:rsidRPr="005E550F" w:rsidRDefault="005E550F" w:rsidP="005E55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D345A"/>
    <w:multiLevelType w:val="multilevel"/>
    <w:tmpl w:val="58FAE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EB76E3"/>
    <w:multiLevelType w:val="multilevel"/>
    <w:tmpl w:val="71729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AA653F"/>
    <w:multiLevelType w:val="multilevel"/>
    <w:tmpl w:val="C974E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647B24"/>
    <w:multiLevelType w:val="multilevel"/>
    <w:tmpl w:val="B7443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6409EC"/>
    <w:multiLevelType w:val="multilevel"/>
    <w:tmpl w:val="9EC8F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510F7"/>
    <w:multiLevelType w:val="multilevel"/>
    <w:tmpl w:val="FE2EB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27C040B"/>
    <w:multiLevelType w:val="multilevel"/>
    <w:tmpl w:val="B804E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855402"/>
    <w:multiLevelType w:val="multilevel"/>
    <w:tmpl w:val="2270A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A43F20"/>
    <w:multiLevelType w:val="multilevel"/>
    <w:tmpl w:val="CAC44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DB5276"/>
    <w:multiLevelType w:val="multilevel"/>
    <w:tmpl w:val="596AB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E2741C"/>
    <w:multiLevelType w:val="multilevel"/>
    <w:tmpl w:val="2F2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0"/>
  </w:num>
  <w:num w:numId="4">
    <w:abstractNumId w:val="5"/>
  </w:num>
  <w:num w:numId="5">
    <w:abstractNumId w:val="3"/>
  </w:num>
  <w:num w:numId="6">
    <w:abstractNumId w:val="6"/>
  </w:num>
  <w:num w:numId="7">
    <w:abstractNumId w:val="0"/>
  </w:num>
  <w:num w:numId="8">
    <w:abstractNumId w:val="8"/>
  </w:num>
  <w:num w:numId="9">
    <w:abstractNumId w:val="4"/>
  </w:num>
  <w:num w:numId="10">
    <w:abstractNumId w:val="2"/>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1AF"/>
    <w:rsid w:val="000A62B6"/>
    <w:rsid w:val="000B2E0A"/>
    <w:rsid w:val="000C4649"/>
    <w:rsid w:val="00146977"/>
    <w:rsid w:val="00170979"/>
    <w:rsid w:val="001C0A1D"/>
    <w:rsid w:val="001E10EC"/>
    <w:rsid w:val="00211D87"/>
    <w:rsid w:val="00252B62"/>
    <w:rsid w:val="002811AF"/>
    <w:rsid w:val="00291D2B"/>
    <w:rsid w:val="002927FF"/>
    <w:rsid w:val="003E66C5"/>
    <w:rsid w:val="00470922"/>
    <w:rsid w:val="00475367"/>
    <w:rsid w:val="004900A4"/>
    <w:rsid w:val="00524A84"/>
    <w:rsid w:val="005261AD"/>
    <w:rsid w:val="005E550F"/>
    <w:rsid w:val="00605BA1"/>
    <w:rsid w:val="0062777B"/>
    <w:rsid w:val="00647B40"/>
    <w:rsid w:val="006A23D0"/>
    <w:rsid w:val="006A2A6A"/>
    <w:rsid w:val="007B21D2"/>
    <w:rsid w:val="007B316A"/>
    <w:rsid w:val="007C4F34"/>
    <w:rsid w:val="00834E40"/>
    <w:rsid w:val="00847C05"/>
    <w:rsid w:val="00897AF0"/>
    <w:rsid w:val="008C58F7"/>
    <w:rsid w:val="009544E1"/>
    <w:rsid w:val="009A03D2"/>
    <w:rsid w:val="009A4AA9"/>
    <w:rsid w:val="00A10951"/>
    <w:rsid w:val="00A23FED"/>
    <w:rsid w:val="00A241F7"/>
    <w:rsid w:val="00A500C6"/>
    <w:rsid w:val="00A74AB8"/>
    <w:rsid w:val="00AA053C"/>
    <w:rsid w:val="00AA1581"/>
    <w:rsid w:val="00AD65B8"/>
    <w:rsid w:val="00AE6A13"/>
    <w:rsid w:val="00AF0E67"/>
    <w:rsid w:val="00B57DBD"/>
    <w:rsid w:val="00B64DC6"/>
    <w:rsid w:val="00B751F9"/>
    <w:rsid w:val="00CB7F8D"/>
    <w:rsid w:val="00D96FD3"/>
    <w:rsid w:val="00E51D01"/>
    <w:rsid w:val="00E6540D"/>
    <w:rsid w:val="00EA3555"/>
    <w:rsid w:val="00EB0363"/>
    <w:rsid w:val="00F972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CED38"/>
  <w15:chartTrackingRefBased/>
  <w15:docId w15:val="{3FD85F93-729A-46E2-B2E9-67A32448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811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11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11A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11A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11A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11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11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11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11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1A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11A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11A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11A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11A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11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11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11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11AF"/>
    <w:rPr>
      <w:rFonts w:eastAsiaTheme="majorEastAsia" w:cstheme="majorBidi"/>
      <w:color w:val="272727" w:themeColor="text1" w:themeTint="D8"/>
    </w:rPr>
  </w:style>
  <w:style w:type="paragraph" w:styleId="Title">
    <w:name w:val="Title"/>
    <w:basedOn w:val="Normal"/>
    <w:next w:val="Normal"/>
    <w:link w:val="TitleChar"/>
    <w:uiPriority w:val="10"/>
    <w:qFormat/>
    <w:rsid w:val="002811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1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1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1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1AF"/>
    <w:pPr>
      <w:spacing w:before="160"/>
      <w:jc w:val="center"/>
    </w:pPr>
    <w:rPr>
      <w:i/>
      <w:iCs/>
      <w:color w:val="404040" w:themeColor="text1" w:themeTint="BF"/>
    </w:rPr>
  </w:style>
  <w:style w:type="character" w:customStyle="1" w:styleId="QuoteChar">
    <w:name w:val="Quote Char"/>
    <w:basedOn w:val="DefaultParagraphFont"/>
    <w:link w:val="Quote"/>
    <w:uiPriority w:val="29"/>
    <w:rsid w:val="002811AF"/>
    <w:rPr>
      <w:i/>
      <w:iCs/>
      <w:color w:val="404040" w:themeColor="text1" w:themeTint="BF"/>
    </w:rPr>
  </w:style>
  <w:style w:type="paragraph" w:styleId="ListParagraph">
    <w:name w:val="List Paragraph"/>
    <w:basedOn w:val="Normal"/>
    <w:uiPriority w:val="34"/>
    <w:qFormat/>
    <w:rsid w:val="002811AF"/>
    <w:pPr>
      <w:ind w:left="720"/>
      <w:contextualSpacing/>
    </w:pPr>
  </w:style>
  <w:style w:type="character" w:styleId="IntenseEmphasis">
    <w:name w:val="Intense Emphasis"/>
    <w:basedOn w:val="DefaultParagraphFont"/>
    <w:uiPriority w:val="21"/>
    <w:qFormat/>
    <w:rsid w:val="002811AF"/>
    <w:rPr>
      <w:i/>
      <w:iCs/>
      <w:color w:val="2F5496" w:themeColor="accent1" w:themeShade="BF"/>
    </w:rPr>
  </w:style>
  <w:style w:type="paragraph" w:styleId="IntenseQuote">
    <w:name w:val="Intense Quote"/>
    <w:basedOn w:val="Normal"/>
    <w:next w:val="Normal"/>
    <w:link w:val="IntenseQuoteChar"/>
    <w:uiPriority w:val="30"/>
    <w:qFormat/>
    <w:rsid w:val="002811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11AF"/>
    <w:rPr>
      <w:i/>
      <w:iCs/>
      <w:color w:val="2F5496" w:themeColor="accent1" w:themeShade="BF"/>
    </w:rPr>
  </w:style>
  <w:style w:type="character" w:styleId="IntenseReference">
    <w:name w:val="Intense Reference"/>
    <w:basedOn w:val="DefaultParagraphFont"/>
    <w:uiPriority w:val="32"/>
    <w:qFormat/>
    <w:rsid w:val="002811AF"/>
    <w:rPr>
      <w:b/>
      <w:bCs/>
      <w:smallCaps/>
      <w:color w:val="2F5496" w:themeColor="accent1" w:themeShade="BF"/>
      <w:spacing w:val="5"/>
    </w:rPr>
  </w:style>
  <w:style w:type="paragraph" w:styleId="NormalWeb">
    <w:name w:val="Normal (Web)"/>
    <w:basedOn w:val="Normal"/>
    <w:uiPriority w:val="99"/>
    <w:unhideWhenUsed/>
    <w:rsid w:val="006A2A6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6A2A6A"/>
    <w:rPr>
      <w:b/>
      <w:bCs/>
    </w:rPr>
  </w:style>
  <w:style w:type="character" w:styleId="Emphasis">
    <w:name w:val="Emphasis"/>
    <w:basedOn w:val="DefaultParagraphFont"/>
    <w:uiPriority w:val="20"/>
    <w:qFormat/>
    <w:rsid w:val="006A2A6A"/>
    <w:rPr>
      <w:i/>
      <w:iCs/>
    </w:rPr>
  </w:style>
  <w:style w:type="character" w:customStyle="1" w:styleId="ms-1">
    <w:name w:val="ms-1"/>
    <w:basedOn w:val="DefaultParagraphFont"/>
    <w:rsid w:val="00146977"/>
  </w:style>
  <w:style w:type="character" w:customStyle="1" w:styleId="max-w-15ch">
    <w:name w:val="max-w-[15ch]"/>
    <w:basedOn w:val="DefaultParagraphFont"/>
    <w:rsid w:val="00146977"/>
  </w:style>
  <w:style w:type="character" w:customStyle="1" w:styleId="-me-1">
    <w:name w:val="-me-1"/>
    <w:basedOn w:val="DefaultParagraphFont"/>
    <w:rsid w:val="00146977"/>
  </w:style>
  <w:style w:type="paragraph" w:styleId="Header">
    <w:name w:val="header"/>
    <w:basedOn w:val="Normal"/>
    <w:link w:val="HeaderChar"/>
    <w:uiPriority w:val="99"/>
    <w:unhideWhenUsed/>
    <w:rsid w:val="00252B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2B62"/>
  </w:style>
  <w:style w:type="paragraph" w:styleId="Footer">
    <w:name w:val="footer"/>
    <w:basedOn w:val="Normal"/>
    <w:link w:val="FooterChar"/>
    <w:uiPriority w:val="99"/>
    <w:unhideWhenUsed/>
    <w:rsid w:val="00252B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2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lgn="l" rtl="0">
              <a:defRPr sz="1400" b="0" i="0" u="none" strike="noStrike" kern="1200" spc="0" baseline="0">
                <a:solidFill>
                  <a:sysClr val="windowText" lastClr="000000"/>
                </a:solidFill>
                <a:latin typeface="+mn-lt"/>
                <a:ea typeface="+mn-ea"/>
                <a:cs typeface="+mj-cs"/>
              </a:defRPr>
            </a:pPr>
            <a:r>
              <a:rPr lang="fa-IR">
                <a:cs typeface="+mj-cs"/>
              </a:rPr>
              <a:t> </a:t>
            </a:r>
            <a:r>
              <a:rPr lang="en-US">
                <a:cs typeface="+mj-cs"/>
              </a:rPr>
              <a:t> sperm</a:t>
            </a:r>
            <a:r>
              <a:rPr lang="en-US" baseline="0">
                <a:cs typeface="+mj-cs"/>
              </a:rPr>
              <a:t> </a:t>
            </a:r>
            <a:r>
              <a:rPr lang="en-US">
                <a:cs typeface="+mj-cs"/>
              </a:rPr>
              <a:t>volume(ml)</a:t>
            </a:r>
          </a:p>
        </c:rich>
      </c:tx>
      <c:overlay val="0"/>
      <c:spPr>
        <a:noFill/>
        <a:ln>
          <a:noFill/>
        </a:ln>
        <a:effectLst/>
      </c:spPr>
      <c:txPr>
        <a:bodyPr rot="0" spcFirstLastPara="1" vertOverflow="ellipsis" vert="horz" wrap="square" anchor="ctr" anchorCtr="1"/>
        <a:lstStyle/>
        <a:p>
          <a:pPr algn="l" rtl="0">
            <a:defRPr sz="1400" b="0" i="0" u="none" strike="noStrike" kern="1200" spc="0" baseline="0">
              <a:solidFill>
                <a:sysClr val="windowText" lastClr="000000"/>
              </a:solidFill>
              <a:latin typeface="+mn-lt"/>
              <a:ea typeface="+mn-ea"/>
              <a:cs typeface="+mj-cs"/>
            </a:defRPr>
          </a:pPr>
          <a:endParaRPr lang="en-US"/>
        </a:p>
      </c:txPr>
    </c:title>
    <c:autoTitleDeleted val="0"/>
    <c:plotArea>
      <c:layout>
        <c:manualLayout>
          <c:layoutTarget val="inner"/>
          <c:xMode val="edge"/>
          <c:yMode val="edge"/>
          <c:x val="0.15471366163227918"/>
          <c:y val="0.16099173553719009"/>
          <c:w val="0.81448695435540108"/>
          <c:h val="0.72945328114977359"/>
        </c:manualLayout>
      </c:layout>
      <c:barChart>
        <c:barDir val="col"/>
        <c:grouping val="clustered"/>
        <c:varyColors val="0"/>
        <c:ser>
          <c:idx val="0"/>
          <c:order val="0"/>
          <c:tx>
            <c:strRef>
              <c:f>بعد!$N$11</c:f>
              <c:strCache>
                <c:ptCount val="1"/>
                <c:pt idx="0">
                  <c:v>حجم (ml)</c:v>
                </c:pt>
              </c:strCache>
            </c:strRef>
          </c:tx>
          <c:spPr>
            <a:solidFill>
              <a:schemeClr val="accent1"/>
            </a:solidFill>
            <a:ln>
              <a:noFill/>
            </a:ln>
            <a:effectLst/>
          </c:spPr>
          <c:invertIfNegative val="0"/>
          <c:dLbls>
            <c:dLbl>
              <c:idx val="0"/>
              <c:tx>
                <c:rich>
                  <a:bodyPr/>
                  <a:lstStyle/>
                  <a:p>
                    <a:r>
                      <a:rPr lang="en-US"/>
                      <a:t>b</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F9A-47DB-BC80-96B2E3C4E8CE}"/>
                </c:ext>
              </c:extLst>
            </c:dLbl>
            <c:dLbl>
              <c:idx val="1"/>
              <c:tx>
                <c:rich>
                  <a:bodyPr/>
                  <a:lstStyle/>
                  <a:p>
                    <a:r>
                      <a:rPr lang="en-US"/>
                      <a:t>a</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F9A-47DB-BC80-96B2E3C4E8CE}"/>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بعد!$N$14</c:f>
                <c:numCache>
                  <c:formatCode>General</c:formatCode>
                  <c:ptCount val="1"/>
                  <c:pt idx="0">
                    <c:v>0.12272989147972983</c:v>
                  </c:pt>
                </c:numCache>
              </c:numRef>
            </c:plus>
            <c:minus>
              <c:numRef>
                <c:f>بعد!$N$14</c:f>
                <c:numCache>
                  <c:formatCode>General</c:formatCode>
                  <c:ptCount val="1"/>
                  <c:pt idx="0">
                    <c:v>0.12272989147972983</c:v>
                  </c:pt>
                </c:numCache>
              </c:numRef>
            </c:minus>
            <c:spPr>
              <a:noFill/>
              <a:ln w="9525" cap="flat" cmpd="sng" algn="ctr">
                <a:solidFill>
                  <a:schemeClr val="tx1">
                    <a:lumMod val="65000"/>
                    <a:lumOff val="35000"/>
                  </a:schemeClr>
                </a:solidFill>
                <a:round/>
              </a:ln>
              <a:effectLst/>
            </c:spPr>
          </c:errBars>
          <c:cat>
            <c:strRef>
              <c:f>بعد!$M$12:$M$13</c:f>
              <c:strCache>
                <c:ptCount val="2"/>
                <c:pt idx="0">
                  <c:v>before</c:v>
                </c:pt>
                <c:pt idx="1">
                  <c:v>after</c:v>
                </c:pt>
              </c:strCache>
            </c:strRef>
          </c:cat>
          <c:val>
            <c:numRef>
              <c:f>بعد!$N$12:$N$13</c:f>
              <c:numCache>
                <c:formatCode>General</c:formatCode>
                <c:ptCount val="2"/>
                <c:pt idx="0">
                  <c:v>2.4666666666666663</c:v>
                </c:pt>
                <c:pt idx="1">
                  <c:v>3.203333333333334</c:v>
                </c:pt>
              </c:numCache>
            </c:numRef>
          </c:val>
          <c:extLst>
            <c:ext xmlns:c16="http://schemas.microsoft.com/office/drawing/2014/chart" uri="{C3380CC4-5D6E-409C-BE32-E72D297353CC}">
              <c16:uniqueId val="{00000002-BF9A-47DB-BC80-96B2E3C4E8CE}"/>
            </c:ext>
          </c:extLst>
        </c:ser>
        <c:dLbls>
          <c:showLegendKey val="0"/>
          <c:showVal val="0"/>
          <c:showCatName val="0"/>
          <c:showSerName val="0"/>
          <c:showPercent val="0"/>
          <c:showBubbleSize val="0"/>
        </c:dLbls>
        <c:gapWidth val="219"/>
        <c:overlap val="-27"/>
        <c:axId val="418870560"/>
        <c:axId val="418871872"/>
      </c:barChart>
      <c:catAx>
        <c:axId val="418870560"/>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18871872"/>
        <c:crosses val="autoZero"/>
        <c:auto val="1"/>
        <c:lblAlgn val="ctr"/>
        <c:lblOffset val="100"/>
        <c:noMultiLvlLbl val="0"/>
      </c:catAx>
      <c:valAx>
        <c:axId val="418871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 volume (ml)</a:t>
                </a:r>
              </a:p>
            </c:rich>
          </c:tx>
          <c:layout>
            <c:manualLayout>
              <c:xMode val="edge"/>
              <c:yMode val="edge"/>
              <c:x val="2.51994960100798E-2"/>
              <c:y val="0.3553049670444087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n-US"/>
          </a:p>
        </c:txPr>
        <c:crossAx val="4188705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a:t>pH</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layout>
                <c:manualLayout>
                  <c:x val="0"/>
                  <c:y val="-0.15740740740740741"/>
                </c:manualLayout>
              </c:layout>
              <c:tx>
                <c:rich>
                  <a:bodyPr/>
                  <a:lstStyle/>
                  <a:p>
                    <a:r>
                      <a:rPr lang="en-US"/>
                      <a:t>b</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F2D-4387-8CB8-F077AAFEF848}"/>
                </c:ext>
              </c:extLst>
            </c:dLbl>
            <c:dLbl>
              <c:idx val="1"/>
              <c:layout>
                <c:manualLayout>
                  <c:x val="0"/>
                  <c:y val="-0.15740740740740741"/>
                </c:manualLayout>
              </c:layout>
              <c:tx>
                <c:rich>
                  <a:bodyPr/>
                  <a:lstStyle/>
                  <a:p>
                    <a:r>
                      <a:rPr lang="en-US"/>
                      <a:t>a</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F2D-4387-8CB8-F077AAFEF848}"/>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بعد!$O$14:$O$15</c:f>
                <c:numCache>
                  <c:formatCode>General</c:formatCode>
                  <c:ptCount val="2"/>
                  <c:pt idx="0">
                    <c:v>0.35493097920581668</c:v>
                  </c:pt>
                  <c:pt idx="1">
                    <c:v>0.36310145505996938</c:v>
                  </c:pt>
                </c:numCache>
              </c:numRef>
            </c:plus>
            <c:minus>
              <c:numRef>
                <c:f>بعد!$O$14:$O$15</c:f>
                <c:numCache>
                  <c:formatCode>General</c:formatCode>
                  <c:ptCount val="2"/>
                  <c:pt idx="0">
                    <c:v>0.35493097920581668</c:v>
                  </c:pt>
                  <c:pt idx="1">
                    <c:v>0.36310145505996938</c:v>
                  </c:pt>
                </c:numCache>
              </c:numRef>
            </c:minus>
            <c:spPr>
              <a:noFill/>
              <a:ln w="9525" cap="flat" cmpd="sng" algn="ctr">
                <a:solidFill>
                  <a:schemeClr val="tx1">
                    <a:lumMod val="65000"/>
                    <a:lumOff val="35000"/>
                  </a:schemeClr>
                </a:solidFill>
                <a:round/>
              </a:ln>
              <a:effectLst/>
            </c:spPr>
          </c:errBars>
          <c:cat>
            <c:strRef>
              <c:f>بعد!$M$12:$M$13</c:f>
              <c:strCache>
                <c:ptCount val="2"/>
                <c:pt idx="0">
                  <c:v>before</c:v>
                </c:pt>
                <c:pt idx="1">
                  <c:v>after</c:v>
                </c:pt>
              </c:strCache>
            </c:strRef>
          </c:cat>
          <c:val>
            <c:numRef>
              <c:f>بعد!$O$12:$O$13</c:f>
              <c:numCache>
                <c:formatCode>General</c:formatCode>
                <c:ptCount val="2"/>
                <c:pt idx="0">
                  <c:v>7.2066666666666679</c:v>
                </c:pt>
                <c:pt idx="1">
                  <c:v>7.3733333333333313</c:v>
                </c:pt>
              </c:numCache>
            </c:numRef>
          </c:val>
          <c:extLst>
            <c:ext xmlns:c16="http://schemas.microsoft.com/office/drawing/2014/chart" uri="{C3380CC4-5D6E-409C-BE32-E72D297353CC}">
              <c16:uniqueId val="{00000002-0F2D-4387-8CB8-F077AAFEF848}"/>
            </c:ext>
          </c:extLst>
        </c:ser>
        <c:dLbls>
          <c:showLegendKey val="0"/>
          <c:showVal val="0"/>
          <c:showCatName val="0"/>
          <c:showSerName val="0"/>
          <c:showPercent val="0"/>
          <c:showBubbleSize val="0"/>
        </c:dLbls>
        <c:gapWidth val="219"/>
        <c:overlap val="-27"/>
        <c:axId val="346329736"/>
        <c:axId val="346330064"/>
      </c:barChart>
      <c:catAx>
        <c:axId val="346329736"/>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46330064"/>
        <c:crosses val="autoZero"/>
        <c:auto val="1"/>
        <c:lblAlgn val="ctr"/>
        <c:lblOffset val="100"/>
        <c:noMultiLvlLbl val="0"/>
      </c:catAx>
      <c:valAx>
        <c:axId val="346330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463297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sperm concentration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5711764663131028"/>
          <c:y val="0.17514720689875704"/>
          <c:w val="0.81211565020923349"/>
          <c:h val="0.71530542735735547"/>
        </c:manualLayout>
      </c:layout>
      <c:barChart>
        <c:barDir val="col"/>
        <c:grouping val="clustered"/>
        <c:varyColors val="0"/>
        <c:ser>
          <c:idx val="0"/>
          <c:order val="0"/>
          <c:spPr>
            <a:solidFill>
              <a:schemeClr val="accent1"/>
            </a:solidFill>
            <a:ln>
              <a:noFill/>
            </a:ln>
            <a:effectLst/>
          </c:spPr>
          <c:invertIfNegative val="0"/>
          <c:dLbls>
            <c:dLbl>
              <c:idx val="0"/>
              <c:tx>
                <c:rich>
                  <a:bodyPr/>
                  <a:lstStyle/>
                  <a:p>
                    <a:r>
                      <a:rPr lang="en-US"/>
                      <a:t>b</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C42-4F46-9032-A9848DBD8B0D}"/>
                </c:ext>
              </c:extLst>
            </c:dLbl>
            <c:dLbl>
              <c:idx val="1"/>
              <c:tx>
                <c:rich>
                  <a:bodyPr/>
                  <a:lstStyle/>
                  <a:p>
                    <a:r>
                      <a:rPr lang="en-US"/>
                      <a:t>a</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C42-4F46-9032-A9848DBD8B0D}"/>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بعد!$P$14:$P$15</c:f>
                <c:numCache>
                  <c:formatCode>General</c:formatCode>
                  <c:ptCount val="2"/>
                  <c:pt idx="0">
                    <c:v>0.89163112361898889</c:v>
                  </c:pt>
                  <c:pt idx="1">
                    <c:v>1.3585509214087659</c:v>
                  </c:pt>
                </c:numCache>
              </c:numRef>
            </c:plus>
            <c:minus>
              <c:numRef>
                <c:f>بعد!$P$14:$P$15</c:f>
                <c:numCache>
                  <c:formatCode>General</c:formatCode>
                  <c:ptCount val="2"/>
                  <c:pt idx="0">
                    <c:v>0.89163112361898889</c:v>
                  </c:pt>
                  <c:pt idx="1">
                    <c:v>1.3585509214087659</c:v>
                  </c:pt>
                </c:numCache>
              </c:numRef>
            </c:minus>
            <c:spPr>
              <a:noFill/>
              <a:ln w="9525" cap="flat" cmpd="sng" algn="ctr">
                <a:solidFill>
                  <a:schemeClr val="tx1">
                    <a:lumMod val="65000"/>
                    <a:lumOff val="35000"/>
                  </a:schemeClr>
                </a:solidFill>
                <a:round/>
              </a:ln>
              <a:effectLst/>
            </c:spPr>
          </c:errBars>
          <c:cat>
            <c:strRef>
              <c:f>بعد!$M$12:$M$13</c:f>
              <c:strCache>
                <c:ptCount val="2"/>
                <c:pt idx="0">
                  <c:v>before</c:v>
                </c:pt>
                <c:pt idx="1">
                  <c:v>after</c:v>
                </c:pt>
              </c:strCache>
            </c:strRef>
          </c:cat>
          <c:val>
            <c:numRef>
              <c:f>بعد!$P$12:$P$13</c:f>
              <c:numCache>
                <c:formatCode>General</c:formatCode>
                <c:ptCount val="2"/>
                <c:pt idx="0">
                  <c:v>13.88</c:v>
                </c:pt>
                <c:pt idx="1">
                  <c:v>42.86</c:v>
                </c:pt>
              </c:numCache>
            </c:numRef>
          </c:val>
          <c:extLst>
            <c:ext xmlns:c16="http://schemas.microsoft.com/office/drawing/2014/chart" uri="{C3380CC4-5D6E-409C-BE32-E72D297353CC}">
              <c16:uniqueId val="{00000002-BC42-4F46-9032-A9848DBD8B0D}"/>
            </c:ext>
          </c:extLst>
        </c:ser>
        <c:dLbls>
          <c:showLegendKey val="0"/>
          <c:showVal val="0"/>
          <c:showCatName val="0"/>
          <c:showSerName val="0"/>
          <c:showPercent val="0"/>
          <c:showBubbleSize val="0"/>
        </c:dLbls>
        <c:gapWidth val="219"/>
        <c:overlap val="-27"/>
        <c:axId val="498080136"/>
        <c:axId val="498080464"/>
      </c:barChart>
      <c:catAx>
        <c:axId val="498080136"/>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98080464"/>
        <c:crosses val="autoZero"/>
        <c:auto val="1"/>
        <c:lblAlgn val="ctr"/>
        <c:lblOffset val="100"/>
        <c:noMultiLvlLbl val="0"/>
      </c:catAx>
      <c:valAx>
        <c:axId val="4980804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M/ml</a:t>
                </a:r>
              </a:p>
            </c:rich>
          </c:tx>
          <c:layout>
            <c:manualLayout>
              <c:xMode val="edge"/>
              <c:yMode val="edge"/>
              <c:x val="3.636064918844837E-2"/>
              <c:y val="0.4650477502145450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980801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a:latin typeface="Times New Roman" panose="02020603050405020304" pitchFamily="18" charset="0"/>
                <a:cs typeface="Times New Roman" panose="02020603050405020304" pitchFamily="18" charset="0"/>
              </a:rPr>
              <a:t>other sperm factors</a:t>
            </a:r>
          </a:p>
        </c:rich>
      </c:tx>
      <c:layout>
        <c:manualLayout>
          <c:xMode val="edge"/>
          <c:yMode val="edge"/>
          <c:x val="0.38230435391292178"/>
          <c:y val="2.3612750885478158E-2"/>
        </c:manualLayout>
      </c:layout>
      <c:overlay val="0"/>
      <c:spPr>
        <a:noFill/>
        <a:ln>
          <a:noFill/>
        </a:ln>
        <a:effectLst/>
      </c:spPr>
    </c:title>
    <c:autoTitleDeleted val="0"/>
    <c:plotArea>
      <c:layout/>
      <c:barChart>
        <c:barDir val="col"/>
        <c:grouping val="clustered"/>
        <c:varyColors val="0"/>
        <c:ser>
          <c:idx val="0"/>
          <c:order val="0"/>
          <c:tx>
            <c:strRef>
              <c:f>بعد!$AG$8</c:f>
              <c:strCache>
                <c:ptCount val="1"/>
                <c:pt idx="0">
                  <c:v>before</c:v>
                </c:pt>
              </c:strCache>
            </c:strRef>
          </c:tx>
          <c:spPr>
            <a:solidFill>
              <a:schemeClr val="accent1"/>
            </a:solidFill>
            <a:ln>
              <a:noFill/>
            </a:ln>
            <a:effectLst/>
          </c:spPr>
          <c:invertIfNegative val="0"/>
          <c:dLbls>
            <c:dLbl>
              <c:idx val="0"/>
              <c:tx>
                <c:rich>
                  <a:bodyPr/>
                  <a:lstStyle/>
                  <a:p>
                    <a:r>
                      <a:rPr lang="en-US"/>
                      <a:t>a</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3CF-4479-9641-58E42DE34E9E}"/>
                </c:ext>
              </c:extLst>
            </c:dLbl>
            <c:dLbl>
              <c:idx val="1"/>
              <c:tx>
                <c:rich>
                  <a:bodyPr/>
                  <a:lstStyle/>
                  <a:p>
                    <a:r>
                      <a:rPr lang="en-US"/>
                      <a:t>b</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3CF-4479-9641-58E42DE34E9E}"/>
                </c:ext>
              </c:extLst>
            </c:dLbl>
            <c:dLbl>
              <c:idx val="2"/>
              <c:tx>
                <c:rich>
                  <a:bodyPr/>
                  <a:lstStyle/>
                  <a:p>
                    <a:r>
                      <a:rPr lang="en-US"/>
                      <a:t>c</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3CF-4479-9641-58E42DE34E9E}"/>
                </c:ext>
              </c:extLst>
            </c:dLbl>
            <c:dLbl>
              <c:idx val="3"/>
              <c:tx>
                <c:rich>
                  <a:bodyPr/>
                  <a:lstStyle/>
                  <a:p>
                    <a:r>
                      <a:rPr lang="en-US"/>
                      <a:t>D</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3CF-4479-9641-58E42DE34E9E}"/>
                </c:ext>
              </c:extLst>
            </c:dLbl>
            <c:dLbl>
              <c:idx val="4"/>
              <c:tx>
                <c:rich>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US"/>
                      <a:t>e</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4-33CF-4479-9641-58E42DE34E9E}"/>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بعد!$AI$9:$AI$13</c:f>
                <c:numCache>
                  <c:formatCode>General</c:formatCode>
                  <c:ptCount val="5"/>
                  <c:pt idx="0">
                    <c:v>1.1761536352608799</c:v>
                  </c:pt>
                  <c:pt idx="1">
                    <c:v>0.84815366913351631</c:v>
                  </c:pt>
                  <c:pt idx="2">
                    <c:v>0.34174093797329663</c:v>
                  </c:pt>
                  <c:pt idx="3">
                    <c:v>1.176153635260875</c:v>
                  </c:pt>
                  <c:pt idx="4">
                    <c:v>0.12268049987877068</c:v>
                  </c:pt>
                </c:numCache>
              </c:numRef>
            </c:plus>
            <c:minus>
              <c:numRef>
                <c:f>بعد!$AJ$9:$AJ$13</c:f>
                <c:numCache>
                  <c:formatCode>General</c:formatCode>
                  <c:ptCount val="5"/>
                  <c:pt idx="0">
                    <c:v>0.69233830114498551</c:v>
                  </c:pt>
                  <c:pt idx="1">
                    <c:v>0.68051896417811952</c:v>
                  </c:pt>
                  <c:pt idx="2">
                    <c:v>0.16423683318225965</c:v>
                  </c:pt>
                  <c:pt idx="3">
                    <c:v>0.67442156285549149</c:v>
                  </c:pt>
                  <c:pt idx="4">
                    <c:v>0.11725393318982891</c:v>
                  </c:pt>
                </c:numCache>
              </c:numRef>
            </c:minus>
            <c:spPr>
              <a:noFill/>
              <a:ln w="9525" cap="flat" cmpd="sng" algn="ctr">
                <a:solidFill>
                  <a:schemeClr val="tx1">
                    <a:lumMod val="65000"/>
                    <a:lumOff val="35000"/>
                  </a:schemeClr>
                </a:solidFill>
                <a:round/>
              </a:ln>
              <a:effectLst/>
            </c:spPr>
          </c:errBars>
          <c:cat>
            <c:strRef>
              <c:f>بعد!$AF$9:$AF$13</c:f>
              <c:strCache>
                <c:ptCount val="5"/>
                <c:pt idx="0">
                  <c:v>Total motility (%)</c:v>
                </c:pt>
                <c:pt idx="1">
                  <c:v>Progressive motility (%)</c:v>
                </c:pt>
                <c:pt idx="2">
                  <c:v>Non-progressive motility (%)</c:v>
                </c:pt>
                <c:pt idx="3">
                  <c:v>Immotile sperm (%)</c:v>
                </c:pt>
                <c:pt idx="4">
                  <c:v>Sperm morphology (%)</c:v>
                </c:pt>
              </c:strCache>
            </c:strRef>
          </c:cat>
          <c:val>
            <c:numRef>
              <c:f>بعد!$AG$9:$AG$13</c:f>
              <c:numCache>
                <c:formatCode>General</c:formatCode>
                <c:ptCount val="5"/>
                <c:pt idx="0">
                  <c:v>30.64</c:v>
                </c:pt>
                <c:pt idx="1">
                  <c:v>17.73</c:v>
                </c:pt>
                <c:pt idx="2">
                  <c:v>12.91</c:v>
                </c:pt>
                <c:pt idx="3">
                  <c:v>69.36</c:v>
                </c:pt>
                <c:pt idx="4">
                  <c:v>2.5</c:v>
                </c:pt>
              </c:numCache>
            </c:numRef>
          </c:val>
          <c:extLst>
            <c:ext xmlns:c16="http://schemas.microsoft.com/office/drawing/2014/chart" uri="{C3380CC4-5D6E-409C-BE32-E72D297353CC}">
              <c16:uniqueId val="{00000005-33CF-4479-9641-58E42DE34E9E}"/>
            </c:ext>
          </c:extLst>
        </c:ser>
        <c:ser>
          <c:idx val="1"/>
          <c:order val="1"/>
          <c:tx>
            <c:strRef>
              <c:f>بعد!$AH$8</c:f>
              <c:strCache>
                <c:ptCount val="1"/>
                <c:pt idx="0">
                  <c:v>after</c:v>
                </c:pt>
              </c:strCache>
            </c:strRef>
          </c:tx>
          <c:spPr>
            <a:solidFill>
              <a:schemeClr val="accent2"/>
            </a:solidFill>
            <a:ln>
              <a:noFill/>
            </a:ln>
            <a:effectLst/>
          </c:spPr>
          <c:invertIfNegative val="0"/>
          <c:dLbls>
            <c:dLbl>
              <c:idx val="0"/>
              <c:tx>
                <c:rich>
                  <a:bodyPr/>
                  <a:lstStyle/>
                  <a:p>
                    <a:r>
                      <a:rPr lang="en-US"/>
                      <a:t>A</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3CF-4479-9641-58E42DE34E9E}"/>
                </c:ext>
              </c:extLst>
            </c:dLbl>
            <c:dLbl>
              <c:idx val="1"/>
              <c:tx>
                <c:rich>
                  <a:bodyPr/>
                  <a:lstStyle/>
                  <a:p>
                    <a:r>
                      <a:rPr lang="en-US"/>
                      <a:t>B</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3CF-4479-9641-58E42DE34E9E}"/>
                </c:ext>
              </c:extLst>
            </c:dLbl>
            <c:dLbl>
              <c:idx val="2"/>
              <c:tx>
                <c:rich>
                  <a:bodyPr/>
                  <a:lstStyle/>
                  <a:p>
                    <a:r>
                      <a:rPr lang="en-US"/>
                      <a:t>C</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3CF-4479-9641-58E42DE34E9E}"/>
                </c:ext>
              </c:extLst>
            </c:dLbl>
            <c:dLbl>
              <c:idx val="3"/>
              <c:tx>
                <c:rich>
                  <a:bodyPr/>
                  <a:lstStyle/>
                  <a:p>
                    <a:r>
                      <a:rPr lang="en-US"/>
                      <a:t>d</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3CF-4479-9641-58E42DE34E9E}"/>
                </c:ext>
              </c:extLst>
            </c:dLbl>
            <c:dLbl>
              <c:idx val="4"/>
              <c:tx>
                <c:rich>
                  <a:bodyPr/>
                  <a:lstStyle/>
                  <a:p>
                    <a:r>
                      <a:rPr lang="en-US"/>
                      <a:t>E</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3CF-4479-9641-58E42DE34E9E}"/>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بعد!$AJ$9:$AJ$13</c:f>
                <c:numCache>
                  <c:formatCode>General</c:formatCode>
                  <c:ptCount val="5"/>
                  <c:pt idx="0">
                    <c:v>0.69233830114498551</c:v>
                  </c:pt>
                  <c:pt idx="1">
                    <c:v>0.68051896417811952</c:v>
                  </c:pt>
                  <c:pt idx="2">
                    <c:v>0.16423683318225965</c:v>
                  </c:pt>
                  <c:pt idx="3">
                    <c:v>0.67442156285549149</c:v>
                  </c:pt>
                  <c:pt idx="4">
                    <c:v>0.11725393318982891</c:v>
                  </c:pt>
                </c:numCache>
              </c:numRef>
            </c:plus>
            <c:minus>
              <c:numRef>
                <c:f>بعد!$AJ$9:$AJ$13</c:f>
                <c:numCache>
                  <c:formatCode>General</c:formatCode>
                  <c:ptCount val="5"/>
                  <c:pt idx="0">
                    <c:v>0.69233830114498551</c:v>
                  </c:pt>
                  <c:pt idx="1">
                    <c:v>0.68051896417811952</c:v>
                  </c:pt>
                  <c:pt idx="2">
                    <c:v>0.16423683318225965</c:v>
                  </c:pt>
                  <c:pt idx="3">
                    <c:v>0.67442156285549149</c:v>
                  </c:pt>
                  <c:pt idx="4">
                    <c:v>0.11725393318982891</c:v>
                  </c:pt>
                </c:numCache>
              </c:numRef>
            </c:minus>
            <c:spPr>
              <a:noFill/>
              <a:ln w="9525" cap="flat" cmpd="sng" algn="ctr">
                <a:solidFill>
                  <a:schemeClr val="tx1">
                    <a:lumMod val="65000"/>
                    <a:lumOff val="35000"/>
                  </a:schemeClr>
                </a:solidFill>
                <a:round/>
              </a:ln>
              <a:effectLst/>
            </c:spPr>
          </c:errBars>
          <c:cat>
            <c:strRef>
              <c:f>بعد!$AF$9:$AF$13</c:f>
              <c:strCache>
                <c:ptCount val="5"/>
                <c:pt idx="0">
                  <c:v>Total motility (%)</c:v>
                </c:pt>
                <c:pt idx="1">
                  <c:v>Progressive motility (%)</c:v>
                </c:pt>
                <c:pt idx="2">
                  <c:v>Non-progressive motility (%)</c:v>
                </c:pt>
                <c:pt idx="3">
                  <c:v>Immotile sperm (%)</c:v>
                </c:pt>
                <c:pt idx="4">
                  <c:v>Sperm morphology (%)</c:v>
                </c:pt>
              </c:strCache>
            </c:strRef>
          </c:cat>
          <c:val>
            <c:numRef>
              <c:f>بعد!$AH$9:$AH$13</c:f>
              <c:numCache>
                <c:formatCode>General</c:formatCode>
                <c:ptCount val="5"/>
                <c:pt idx="0">
                  <c:v>62.31</c:v>
                </c:pt>
                <c:pt idx="1">
                  <c:v>42.95</c:v>
                </c:pt>
                <c:pt idx="2">
                  <c:v>19.36</c:v>
                </c:pt>
                <c:pt idx="3">
                  <c:v>37.479999999999997</c:v>
                </c:pt>
                <c:pt idx="4">
                  <c:v>5.33</c:v>
                </c:pt>
              </c:numCache>
            </c:numRef>
          </c:val>
          <c:extLst>
            <c:ext xmlns:c16="http://schemas.microsoft.com/office/drawing/2014/chart" uri="{C3380CC4-5D6E-409C-BE32-E72D297353CC}">
              <c16:uniqueId val="{0000000B-33CF-4479-9641-58E42DE34E9E}"/>
            </c:ext>
          </c:extLst>
        </c:ser>
        <c:dLbls>
          <c:showLegendKey val="0"/>
          <c:showVal val="0"/>
          <c:showCatName val="0"/>
          <c:showSerName val="0"/>
          <c:showPercent val="0"/>
          <c:showBubbleSize val="0"/>
        </c:dLbls>
        <c:gapWidth val="219"/>
        <c:overlap val="-27"/>
        <c:axId val="418865968"/>
        <c:axId val="418870232"/>
      </c:barChart>
      <c:catAx>
        <c:axId val="41886596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18870232"/>
        <c:crosses val="autoZero"/>
        <c:auto val="1"/>
        <c:lblAlgn val="ctr"/>
        <c:lblOffset val="100"/>
        <c:noMultiLvlLbl val="0"/>
      </c:catAx>
      <c:valAx>
        <c:axId val="4188702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t> %</a:t>
                </a:r>
              </a:p>
            </c:rich>
          </c:tx>
          <c:overlay val="0"/>
          <c:spPr>
            <a:noFill/>
            <a:ln>
              <a:noFill/>
            </a:ln>
            <a:effectLst/>
          </c:sp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18865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10</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Donyaye Computer</cp:lastModifiedBy>
  <cp:revision>13</cp:revision>
  <dcterms:created xsi:type="dcterms:W3CDTF">2025-12-08T18:57:00Z</dcterms:created>
  <dcterms:modified xsi:type="dcterms:W3CDTF">2025-12-08T21:01:00Z</dcterms:modified>
</cp:coreProperties>
</file>