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16B" w:rsidRPr="0047016B" w:rsidRDefault="0047016B" w:rsidP="0047016B">
      <w:pPr>
        <w:bidi/>
        <w:spacing w:line="240" w:lineRule="auto"/>
        <w:jc w:val="center"/>
        <w:rPr>
          <w:rtl/>
        </w:rPr>
      </w:pPr>
      <w:bookmarkStart w:id="0" w:name="_GoBack"/>
      <w:bookmarkEnd w:id="0"/>
      <w:r w:rsidRPr="0047016B">
        <w:rPr>
          <w:b/>
          <w:bCs/>
          <w:rtl/>
        </w:rPr>
        <w:t>تجارب زیسته بیماران تحت کموتراپی در خصوص ایمنی داروهای ضد تومور</w:t>
      </w:r>
      <w:r w:rsidRPr="0047016B">
        <w:rPr>
          <w:rtl/>
        </w:rPr>
        <w:t> </w:t>
      </w:r>
    </w:p>
    <w:p w:rsidR="0047016B" w:rsidRPr="0047016B" w:rsidRDefault="0047016B" w:rsidP="0047016B">
      <w:pPr>
        <w:bidi/>
        <w:spacing w:line="240" w:lineRule="auto"/>
        <w:jc w:val="center"/>
        <w:rPr>
          <w:rtl/>
        </w:rPr>
      </w:pPr>
      <w:r w:rsidRPr="0047016B">
        <w:rPr>
          <w:b/>
          <w:bCs/>
          <w:rtl/>
        </w:rPr>
        <w:t>فریبا غفاری</w:t>
      </w:r>
    </w:p>
    <w:p w:rsidR="0047016B" w:rsidRPr="0047016B" w:rsidRDefault="0047016B" w:rsidP="0047016B">
      <w:pPr>
        <w:bidi/>
        <w:spacing w:line="240" w:lineRule="auto"/>
        <w:jc w:val="center"/>
        <w:rPr>
          <w:rtl/>
        </w:rPr>
      </w:pPr>
      <w:r w:rsidRPr="0047016B">
        <w:rPr>
          <w:b/>
          <w:bCs/>
          <w:rtl/>
        </w:rPr>
        <w:t xml:space="preserve">کارشناس ارشد پرستاری داخلی جراحی از دانشگاه علوم پزشکی تبریز </w:t>
      </w:r>
    </w:p>
    <w:p w:rsidR="0047016B" w:rsidRPr="0047016B" w:rsidRDefault="0047016B" w:rsidP="0047016B">
      <w:pPr>
        <w:bidi/>
        <w:spacing w:line="240" w:lineRule="auto"/>
        <w:rPr>
          <w:b/>
          <w:bCs/>
        </w:rPr>
      </w:pPr>
    </w:p>
    <w:p w:rsidR="0047016B" w:rsidRPr="0047016B" w:rsidRDefault="0047016B" w:rsidP="0047016B">
      <w:pPr>
        <w:bidi/>
        <w:spacing w:line="240" w:lineRule="auto"/>
        <w:rPr>
          <w:rtl/>
        </w:rPr>
      </w:pPr>
      <w:r w:rsidRPr="0047016B">
        <w:rPr>
          <w:rtl/>
        </w:rPr>
        <w:t>مقدمه و هدف:</w:t>
      </w:r>
    </w:p>
    <w:p w:rsidR="0047016B" w:rsidRPr="0047016B" w:rsidRDefault="0047016B" w:rsidP="0047016B">
      <w:pPr>
        <w:bidi/>
        <w:spacing w:line="240" w:lineRule="auto"/>
        <w:rPr>
          <w:rtl/>
        </w:rPr>
      </w:pPr>
      <w:r w:rsidRPr="0047016B">
        <w:rPr>
          <w:rtl/>
        </w:rPr>
        <w:t>داروهای ضدتومور بر سلامت جسمی و روانی–اجتماعی بیماران تأثیر گذاشته و چالش‌های قابل‌توجهی برای بیماران، مراقبان و متخصصان حوزه سلامت ایجاد می‌کنند. با این حال، اطلاعات کمی در مورد تجربه زیسته بیماران از مصرف این داروها وجود دارد. تجربه زیسته در واقع درک فردی و معنادار بیمار از پدیده درمان است که تحت تأثیر عوامل درونی و بیرونی مرتبط با فرد شکل می‌گیرد.</w:t>
      </w:r>
    </w:p>
    <w:p w:rsidR="0047016B" w:rsidRPr="0047016B" w:rsidRDefault="0047016B" w:rsidP="0047016B">
      <w:pPr>
        <w:bidi/>
        <w:spacing w:line="240" w:lineRule="auto"/>
        <w:rPr>
          <w:rtl/>
        </w:rPr>
      </w:pPr>
      <w:r w:rsidRPr="0047016B">
        <w:rPr>
          <w:rtl/>
        </w:rPr>
        <w:t>هدف این مطالعه، ارزیابی انتقادی، ترکیب و ارائه شواهد موجود درباره تجربه زیسته بیماران از ایمنی مصرف داروهای ضدتومور تجویز شده برای درمان تومورهای بدخیم بوده است.</w:t>
      </w:r>
    </w:p>
    <w:p w:rsidR="0047016B" w:rsidRPr="0047016B" w:rsidRDefault="0047016B" w:rsidP="0047016B">
      <w:pPr>
        <w:bidi/>
        <w:spacing w:line="240" w:lineRule="auto"/>
        <w:rPr>
          <w:rtl/>
        </w:rPr>
      </w:pPr>
      <w:r w:rsidRPr="0047016B">
        <w:rPr>
          <w:rtl/>
        </w:rPr>
        <w:t>روش‌شناسی:</w:t>
      </w:r>
    </w:p>
    <w:p w:rsidR="0047016B" w:rsidRPr="0047016B" w:rsidRDefault="0047016B" w:rsidP="0047016B">
      <w:pPr>
        <w:bidi/>
        <w:spacing w:line="240" w:lineRule="auto"/>
        <w:rPr>
          <w:rtl/>
        </w:rPr>
      </w:pPr>
      <w:r w:rsidRPr="0047016B">
        <w:rPr>
          <w:rtl/>
        </w:rPr>
        <w:t>یک جستجوی سیستماتیک در شش پایگاه داده الکترونیکی بدون محدودیت زمانی و تنها برای مقالات انگلیسی انجام شد. کلیدواژه‌های جست‌وجو مرتبط با باورها، رفتارهای مصرف دارو و بار درمانی در رابطه با بیماران، داروهای ضدتومور، تومورها و تجربه زیسته بودند. فرآیند انتخاب مطالعات، ارزیابی کیفیت و استخراج داده‌ها به‌صورت مستقل توسط دو پژوهشگر انجام شد. یافته‌های پژوهش با استفاده از روش‌های روایی و فراترکیب مورد تحلیل قرار گرفتند.</w:t>
      </w:r>
    </w:p>
    <w:p w:rsidR="0047016B" w:rsidRPr="0047016B" w:rsidRDefault="0047016B" w:rsidP="0047016B">
      <w:pPr>
        <w:bidi/>
        <w:spacing w:line="240" w:lineRule="auto"/>
        <w:rPr>
          <w:rtl/>
        </w:rPr>
      </w:pPr>
      <w:r w:rsidRPr="0047016B">
        <w:rPr>
          <w:rtl/>
        </w:rPr>
        <w:t>یافته‌ها:</w:t>
      </w:r>
    </w:p>
    <w:p w:rsidR="0047016B" w:rsidRPr="0047016B" w:rsidRDefault="0047016B" w:rsidP="0047016B">
      <w:pPr>
        <w:bidi/>
        <w:spacing w:line="240" w:lineRule="auto"/>
        <w:rPr>
          <w:rtl/>
        </w:rPr>
      </w:pPr>
      <w:r w:rsidRPr="0047016B">
        <w:rPr>
          <w:rtl/>
        </w:rPr>
        <w:t>از میان ۳۱٬۰۰۴ مقاله بازیابی‌شده، تنها ۱۰ مطالعه معیارهای ورود به پژوهش را داشتند. این مطالعات بین سال‌های ۲۰۱۵ تا ۲۰۲۵ در اروپا (۶ مطالعه)، آمریکا (۳ مطالعه) و آسیا (۱ مطالعه) منتشر شده بودند.</w:t>
      </w:r>
    </w:p>
    <w:p w:rsidR="0047016B" w:rsidRPr="0047016B" w:rsidRDefault="0047016B" w:rsidP="0047016B">
      <w:pPr>
        <w:bidi/>
        <w:spacing w:line="240" w:lineRule="auto"/>
        <w:rPr>
          <w:rtl/>
        </w:rPr>
      </w:pPr>
      <w:r w:rsidRPr="0047016B">
        <w:rPr>
          <w:rtl/>
        </w:rPr>
        <w:t>نه تم اصلی که بر تجربه زیسته بیماران تأثیرگذار بودند، شناسایی شدند:</w:t>
      </w:r>
    </w:p>
    <w:p w:rsidR="0047016B" w:rsidRPr="0047016B" w:rsidRDefault="0047016B" w:rsidP="0047016B">
      <w:pPr>
        <w:bidi/>
        <w:spacing w:line="240" w:lineRule="auto"/>
        <w:rPr>
          <w:rtl/>
        </w:rPr>
      </w:pPr>
      <w:r w:rsidRPr="0047016B">
        <w:rPr>
          <w:rtl/>
        </w:rPr>
        <w:t>۱. تأثیر عوامل بیرونی (اعضای خانواده، متخصصان سلامت، رسانه و فرهنگ)۲. نگرش کلی نسبت به داروها۳. پذیرش درمان۴. تغییر رژیم دارویی یا دوز مصرف توسط بیمار۵. ویژگی‌های دارو۶. روال مصرف دارو۷. عوارض جانبی داروها۸. بار اجتماعی و اقتصادی ناشی از مصرف داروها۹. بار درمانی مرتبط با سیستم سلامت</w:t>
      </w:r>
      <w:r w:rsidRPr="0047016B">
        <w:t xml:space="preserve"> </w:t>
      </w:r>
      <w:r w:rsidRPr="0047016B">
        <w:rPr>
          <w:rtl/>
        </w:rPr>
        <w:t>بیماران در طول دوره درمان خود به‌طور مداوم در حال بازتعریف تجربیاتشان با داروها هستند.</w:t>
      </w:r>
    </w:p>
    <w:p w:rsidR="0047016B" w:rsidRPr="0047016B" w:rsidRDefault="0047016B" w:rsidP="0047016B">
      <w:pPr>
        <w:bidi/>
        <w:spacing w:line="240" w:lineRule="auto"/>
      </w:pPr>
      <w:r w:rsidRPr="0047016B">
        <w:rPr>
          <w:rtl/>
        </w:rPr>
        <w:t>نتیجه‌گیری:</w:t>
      </w:r>
    </w:p>
    <w:p w:rsidR="0047016B" w:rsidRPr="0047016B" w:rsidRDefault="0047016B" w:rsidP="0047016B">
      <w:pPr>
        <w:bidi/>
        <w:spacing w:line="240" w:lineRule="auto"/>
        <w:rPr>
          <w:rtl/>
        </w:rPr>
      </w:pPr>
      <w:r w:rsidRPr="0047016B">
        <w:rPr>
          <w:rtl/>
        </w:rPr>
        <w:t>استفاده از داروهای ضدتومور تأثیر عمیقی بر زندگی بیماران دارد. انجام مطالعات طولی و عمیق‌تر برای درک بهتر تجربه زیسته بیماران و ارائه حمایت‌های لازم در طول مسیر درمان آن‌ها ضروری است.</w:t>
      </w:r>
    </w:p>
    <w:p w:rsidR="0047016B" w:rsidRPr="0047016B" w:rsidRDefault="0047016B" w:rsidP="0047016B">
      <w:pPr>
        <w:bidi/>
        <w:spacing w:line="240" w:lineRule="auto"/>
        <w:rPr>
          <w:rtl/>
        </w:rPr>
      </w:pPr>
      <w:r w:rsidRPr="0047016B">
        <w:rPr>
          <w:rtl/>
        </w:rPr>
        <w:t>واژگان کلیدی:بیماران تحت کموتراپی،ايمنی،داروهای ضدتومور</w:t>
      </w:r>
    </w:p>
    <w:p w:rsidR="0047016B" w:rsidRPr="0047016B" w:rsidRDefault="0047016B" w:rsidP="0047016B">
      <w:pPr>
        <w:bidi/>
        <w:spacing w:line="240" w:lineRule="auto"/>
        <w:jc w:val="center"/>
      </w:pPr>
      <w:r w:rsidRPr="0047016B">
        <w:t>Nuru Muhamed A, Kerie S, Biresaw H, Zewdie A, Habtie A, Kassa A. Lived Experiences of Adult Cancer Patients Undergoing Chemotherapy Treatment at University of Gondar Specialized Hospital, North West Ethiopia, 2021. J Patient Exp. 2023 Apr 12;10:23743735231166496. doi: 10.1177/23743735231166496. PMID: 37064818; PMCID: PMC10102929. </w:t>
      </w:r>
    </w:p>
    <w:p w:rsidR="0047016B" w:rsidRPr="0047016B" w:rsidRDefault="0047016B" w:rsidP="0047016B">
      <w:pPr>
        <w:bidi/>
        <w:spacing w:line="240" w:lineRule="auto"/>
        <w:jc w:val="center"/>
      </w:pPr>
      <w:r w:rsidRPr="0047016B">
        <w:rPr>
          <w:b/>
          <w:bCs/>
        </w:rPr>
        <w:t> </w:t>
      </w:r>
    </w:p>
    <w:p w:rsidR="009346B2" w:rsidRDefault="00306AFE" w:rsidP="0047016B">
      <w:pPr>
        <w:bidi/>
        <w:spacing w:line="240" w:lineRule="auto"/>
        <w:jc w:val="center"/>
        <w:rPr>
          <w:rFonts w:cs="Nazanin;Arial"/>
          <w:b/>
          <w:bCs/>
          <w:sz w:val="28"/>
        </w:rPr>
      </w:pPr>
      <w:r>
        <w:br w:type="page"/>
      </w:r>
      <w:r w:rsidR="0047016B">
        <w:rPr>
          <w:rFonts w:cs="Nazanin;Arial"/>
          <w:b/>
          <w:bCs/>
          <w:sz w:val="28"/>
        </w:rPr>
        <w:lastRenderedPageBreak/>
        <w:t xml:space="preserve"> </w:t>
      </w:r>
    </w:p>
    <w:p w:rsidR="009346B2" w:rsidRDefault="009346B2">
      <w:pPr>
        <w:tabs>
          <w:tab w:val="left" w:pos="3497"/>
          <w:tab w:val="left" w:pos="6474"/>
        </w:tabs>
        <w:spacing w:after="0" w:line="240" w:lineRule="auto"/>
        <w:rPr>
          <w:rFonts w:cs="B Nazanin"/>
          <w:b/>
          <w:bCs/>
          <w:sz w:val="28"/>
          <w:szCs w:val="28"/>
        </w:rPr>
      </w:pPr>
    </w:p>
    <w:sectPr w:rsidR="009346B2">
      <w:headerReference w:type="default" r:id="rId7"/>
      <w:footerReference w:type="default" r:id="rId8"/>
      <w:pgSz w:w="11906" w:h="16838"/>
      <w:pgMar w:top="1980" w:right="1418" w:bottom="1418" w:left="720" w:header="540" w:footer="709" w:gutter="0"/>
      <w:cols w:space="720"/>
      <w:bidi/>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84C" w:rsidRDefault="00A5684C">
      <w:pPr>
        <w:spacing w:after="0" w:line="240" w:lineRule="auto"/>
      </w:pPr>
      <w:r>
        <w:separator/>
      </w:r>
    </w:p>
  </w:endnote>
  <w:endnote w:type="continuationSeparator" w:id="0">
    <w:p w:rsidR="00A5684C" w:rsidRDefault="00A56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altName w:val="Times New Roman"/>
    <w:panose1 w:val="00000000000000000000"/>
    <w:charset w:val="00"/>
    <w:family w:val="roman"/>
    <w:notTrueType/>
    <w:pitch w:val="default"/>
  </w:font>
  <w:font w:name="Liberation Serif">
    <w:altName w:val="Times New Roman"/>
    <w:charset w:val="01"/>
    <w:family w:val="roman"/>
    <w:pitch w:val="variable"/>
  </w:font>
  <w:font w:name="Liberation Sans">
    <w:panose1 w:val="00000000000000000000"/>
    <w:charset w:val="00"/>
    <w:family w:val="roman"/>
    <w:notTrueType/>
    <w:pitch w:val="default"/>
  </w:font>
  <w:font w:name="DejaVu Sans">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ffic;Arial">
    <w:panose1 w:val="00000000000000000000"/>
    <w:charset w:val="00"/>
    <w:family w:val="roman"/>
    <w:notTrueType/>
    <w:pitch w:val="default"/>
  </w:font>
  <w:font w:name="Arya 1 BOLD;Times New Roman">
    <w:panose1 w:val="00000000000000000000"/>
    <w:charset w:val="00"/>
    <w:family w:val="roman"/>
    <w:notTrueType/>
    <w:pitch w:val="default"/>
  </w:font>
  <w:font w:name="Mitra;Arial">
    <w:panose1 w:val="00000000000000000000"/>
    <w:charset w:val="00"/>
    <w:family w:val="roman"/>
    <w:notTrueType/>
    <w:pitch w:val="default"/>
  </w:font>
  <w:font w:name="Traditional Arabic">
    <w:panose1 w:val="02020603050405020304"/>
    <w:charset w:val="00"/>
    <w:family w:val="roman"/>
    <w:pitch w:val="variable"/>
    <w:sig w:usb0="00002003" w:usb1="80000000" w:usb2="00000008" w:usb3="00000000" w:csb0="00000041" w:csb1="00000000"/>
  </w:font>
  <w:font w:name="Nazanin;Arial">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6B2" w:rsidRDefault="00306AFE">
    <w:pPr>
      <w:pStyle w:val="Footer"/>
      <w:bidi/>
      <w:jc w:val="center"/>
      <w:rPr>
        <w:caps/>
      </w:rPr>
    </w:pPr>
    <w:r>
      <w:rPr>
        <w:caps/>
        <w:rtl/>
      </w:rPr>
      <w:fldChar w:fldCharType="begin"/>
    </w:r>
    <w:r>
      <w:rPr>
        <w:caps/>
        <w:rtl/>
      </w:rPr>
      <w:instrText xml:space="preserve"> PAGE </w:instrText>
    </w:r>
    <w:r>
      <w:rPr>
        <w:caps/>
        <w:rtl/>
      </w:rPr>
      <w:fldChar w:fldCharType="separate"/>
    </w:r>
    <w:r w:rsidR="00B01A90">
      <w:rPr>
        <w:caps/>
        <w:noProof/>
        <w:rtl/>
      </w:rPr>
      <w:t>2</w:t>
    </w:r>
    <w:r>
      <w:rPr>
        <w:caps/>
        <w:rtl/>
      </w:rPr>
      <w:fldChar w:fldCharType="end"/>
    </w:r>
  </w:p>
  <w:p w:rsidR="009346B2" w:rsidRDefault="009346B2">
    <w:pPr>
      <w:pStyle w:val="Footer"/>
      <w:rPr>
        <w:cap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84C" w:rsidRDefault="00A5684C">
      <w:pPr>
        <w:spacing w:after="0" w:line="240" w:lineRule="auto"/>
      </w:pPr>
      <w:r>
        <w:separator/>
      </w:r>
    </w:p>
  </w:footnote>
  <w:footnote w:type="continuationSeparator" w:id="0">
    <w:p w:rsidR="00A5684C" w:rsidRDefault="00A568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6B2" w:rsidRDefault="00306AFE">
    <w:pPr>
      <w:pStyle w:val="Header"/>
    </w:pPr>
    <w:r>
      <w:rPr>
        <w:noProof/>
        <w:lang w:eastAsia="en-US"/>
      </w:rPr>
      <w:drawing>
        <wp:anchor distT="0" distB="0" distL="114300" distR="114300" simplePos="0" relativeHeight="3" behindDoc="0" locked="0" layoutInCell="1" allowOverlap="1">
          <wp:simplePos x="0" y="0"/>
          <wp:positionH relativeFrom="column">
            <wp:posOffset>866779</wp:posOffset>
          </wp:positionH>
          <wp:positionV relativeFrom="paragraph">
            <wp:posOffset>5078</wp:posOffset>
          </wp:positionV>
          <wp:extent cx="6199505" cy="803281"/>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rcRect l="-25" t="-196" r="-25" b="-196"/>
                  <a:stretch>
                    <a:fillRect/>
                  </a:stretch>
                </pic:blipFill>
                <pic:spPr bwMode="auto">
                  <a:xfrm>
                    <a:off x="0" y="0"/>
                    <a:ext cx="6199505" cy="8032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07B87"/>
    <w:multiLevelType w:val="singleLevel"/>
    <w:tmpl w:val="5F7A3C84"/>
    <w:lvl w:ilvl="0">
      <w:start w:val="1"/>
      <w:numFmt w:val="decimal"/>
      <w:pStyle w:val="Heading3"/>
      <w:lvlText w:val="%1-"/>
      <w:lvlJc w:val="left"/>
      <w:pPr>
        <w:ind w:left="397" w:hanging="397"/>
      </w:pPr>
      <w:rPr>
        <w:rFonts w:ascii="Times New Roman" w:hAnsi="Times New Roman" w:cs="B Nazanin"/>
        <w:b/>
        <w:bCs/>
        <w:i w:val="0"/>
        <w:iCs w:val="0"/>
        <w:caps w:val="0"/>
        <w:smallCaps w:val="0"/>
        <w:strike w:val="0"/>
        <w:dstrike w:val="0"/>
        <w:vanish w:val="0"/>
        <w:color w:val="00000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6B2"/>
    <w:rsid w:val="00306AFE"/>
    <w:rsid w:val="0047016B"/>
    <w:rsid w:val="009346B2"/>
    <w:rsid w:val="00A5684C"/>
    <w:rsid w:val="00B01A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C29A00-48E9-4B58-B64D-E2409CEA7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ans" w:hAnsi="Liberation Serif" w:cs="DejaVu 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Calibri" w:eastAsia="Calibri" w:hAnsi="Calibri" w:cs="Arial"/>
      <w:sz w:val="22"/>
      <w:szCs w:val="22"/>
      <w:lang w:bidi="ar-SA"/>
    </w:rPr>
  </w:style>
  <w:style w:type="paragraph" w:styleId="Heading1">
    <w:name w:val="heading 1"/>
    <w:basedOn w:val="Normal"/>
    <w:next w:val="Normal"/>
    <w:qFormat/>
    <w:pPr>
      <w:keepNext/>
      <w:widowControl w:val="0"/>
      <w:bidi/>
      <w:spacing w:before="180" w:after="120" w:line="240" w:lineRule="auto"/>
      <w:ind w:right="397"/>
      <w:outlineLvl w:val="0"/>
    </w:pPr>
    <w:rPr>
      <w:rFonts w:ascii="Times New Roman" w:eastAsia="Times New Roman" w:hAnsi="Times New Roman" w:cs="Traffic;Arial"/>
      <w:b/>
      <w:bCs/>
      <w:kern w:val="2"/>
      <w:szCs w:val="24"/>
    </w:rPr>
  </w:style>
  <w:style w:type="paragraph" w:styleId="Heading2">
    <w:name w:val="heading 2"/>
    <w:basedOn w:val="Normal"/>
    <w:next w:val="Normal"/>
    <w:qFormat/>
    <w:pPr>
      <w:keepNext/>
      <w:widowControl w:val="0"/>
      <w:numPr>
        <w:ilvl w:val="1"/>
        <w:numId w:val="1"/>
      </w:numPr>
      <w:bidi/>
      <w:spacing w:before="120" w:after="60" w:line="240" w:lineRule="auto"/>
      <w:ind w:left="0" w:right="511" w:firstLine="0"/>
      <w:outlineLvl w:val="1"/>
    </w:pPr>
    <w:rPr>
      <w:rFonts w:ascii="Times New Roman" w:eastAsia="Times New Roman" w:hAnsi="Times New Roman" w:cs="Traffic;Arial"/>
      <w:b/>
      <w:bCs/>
      <w:sz w:val="20"/>
    </w:rPr>
  </w:style>
  <w:style w:type="paragraph" w:styleId="Heading3">
    <w:name w:val="heading 3"/>
    <w:basedOn w:val="Normal"/>
    <w:next w:val="Normal"/>
    <w:qFormat/>
    <w:pPr>
      <w:keepNext/>
      <w:widowControl w:val="0"/>
      <w:numPr>
        <w:ilvl w:val="2"/>
        <w:numId w:val="1"/>
      </w:numPr>
      <w:bidi/>
      <w:spacing w:before="180" w:after="60" w:line="228" w:lineRule="auto"/>
      <w:ind w:left="0" w:right="624" w:firstLine="0"/>
      <w:outlineLvl w:val="2"/>
    </w:pPr>
    <w:rPr>
      <w:rFonts w:ascii="Times New Roman" w:eastAsia="Times New Roman" w:hAnsi="Times New Roman" w:cs="Arya 1 BOLD;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Times New Roman" w:hAnsi="Times New Roman" w:cs="B Nazanin"/>
      <w:b/>
      <w:bCs/>
      <w:i w:val="0"/>
      <w:iCs w:val="0"/>
      <w:caps w:val="0"/>
      <w:smallCaps w:val="0"/>
      <w:strike w:val="0"/>
      <w:dstrike w:val="0"/>
      <w:vanish w:val="0"/>
      <w:color w:val="000000"/>
      <w:spacing w:val="0"/>
      <w:w w:val="100"/>
      <w:kern w:val="0"/>
      <w:position w:val="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1">
    <w:name w:val="WW8Num1z1"/>
    <w:qFormat/>
    <w:rPr>
      <w:rFonts w:ascii="Times New Roman" w:hAnsi="Times New Roman" w:cs="Traffic;Arial"/>
      <w:b/>
      <w:bCs/>
      <w:i w:val="0"/>
      <w:iCs w:val="0"/>
      <w:caps w:val="0"/>
      <w:smallCaps w:val="0"/>
      <w:strike w:val="0"/>
      <w:dstrike w:val="0"/>
      <w:vanish w:val="0"/>
      <w:color w:val="000000"/>
      <w:spacing w:val="0"/>
      <w:w w:val="100"/>
      <w:kern w:val="0"/>
      <w:position w:val="0"/>
      <w:sz w:val="20"/>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B Nazanin"/>
      <w:b/>
      <w:bCs/>
      <w:i w:val="0"/>
      <w:iCs w:val="0"/>
      <w:caps w:val="0"/>
      <w:smallCaps w:val="0"/>
      <w:strike w:val="0"/>
      <w:dstrike w:val="0"/>
      <w:vanish w:val="0"/>
      <w:color w:val="000000"/>
      <w:spacing w:val="0"/>
      <w:w w:val="100"/>
      <w:kern w:val="0"/>
      <w:position w:val="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1">
    <w:name w:val="WW8Num2z1"/>
    <w:qFormat/>
    <w:rPr>
      <w:rFonts w:ascii="Times New Roman" w:hAnsi="Times New Roman" w:cs="Traffic;Arial"/>
      <w:b/>
      <w:bCs/>
      <w:i w:val="0"/>
      <w:iCs w:val="0"/>
      <w:caps w:val="0"/>
      <w:smallCaps w:val="0"/>
      <w:strike w:val="0"/>
      <w:dstrike w:val="0"/>
      <w:vanish w:val="0"/>
      <w:color w:val="000000"/>
      <w:spacing w:val="0"/>
      <w:w w:val="100"/>
      <w:kern w:val="0"/>
      <w:position w:val="0"/>
      <w:sz w:val="20"/>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Heading1Char">
    <w:name w:val="Heading 1 Char"/>
    <w:qFormat/>
    <w:rPr>
      <w:rFonts w:ascii="Times New Roman" w:eastAsia="Times New Roman" w:hAnsi="Times New Roman" w:cs="Traffic;Arial"/>
      <w:b/>
      <w:bCs/>
      <w:kern w:val="2"/>
      <w:szCs w:val="24"/>
      <w:lang w:bidi="ar-SA"/>
    </w:rPr>
  </w:style>
  <w:style w:type="character" w:customStyle="1" w:styleId="Heading2Char">
    <w:name w:val="Heading 2 Char"/>
    <w:qFormat/>
    <w:rPr>
      <w:rFonts w:ascii="Times New Roman" w:eastAsia="Times New Roman" w:hAnsi="Times New Roman" w:cs="Traffic;Arial"/>
      <w:b/>
      <w:bCs/>
      <w:sz w:val="20"/>
      <w:lang w:bidi="ar-SA"/>
    </w:rPr>
  </w:style>
  <w:style w:type="character" w:customStyle="1" w:styleId="Heading3Char">
    <w:name w:val="Heading 3 Char"/>
    <w:qFormat/>
    <w:rPr>
      <w:rFonts w:ascii="Times New Roman" w:eastAsia="Times New Roman" w:hAnsi="Times New Roman" w:cs="Arya 1 BOLD;Times New Roman"/>
      <w:b/>
      <w:szCs w:val="28"/>
      <w:lang w:bidi="ar-SA"/>
    </w:rPr>
  </w:style>
  <w:style w:type="character" w:customStyle="1" w:styleId="yiv1412831824msid4322yiv1412831824msid7631yiv1412831824msid2567yiv1412831824msid9054yiv1412831824msid2864">
    <w:name w:val="yiv1412831824ms__id4322 yiv1412831824ms__id7631 yiv1412831824ms__id2567 yiv1412831824ms__id9054&#10; yiv1412831824ms__id2864"/>
    <w:basedOn w:val="DefaultParagraphFont"/>
    <w:qFormat/>
  </w:style>
  <w:style w:type="character" w:customStyle="1" w:styleId="HeaderChar">
    <w:name w:val="Header Char"/>
    <w:qFormat/>
    <w:rPr>
      <w:sz w:val="22"/>
      <w:szCs w:val="22"/>
      <w:lang w:bidi="ar-SA"/>
    </w:rPr>
  </w:style>
  <w:style w:type="character" w:customStyle="1" w:styleId="FooterChar">
    <w:name w:val="Footer Char"/>
    <w:qFormat/>
    <w:rPr>
      <w:sz w:val="22"/>
      <w:szCs w:val="22"/>
      <w:lang w:bidi="ar-SA"/>
    </w:rPr>
  </w:style>
  <w:style w:type="character" w:customStyle="1" w:styleId="NoSpacingChar">
    <w:name w:val="No Spacing Char"/>
    <w:qFormat/>
    <w:rPr>
      <w:rFonts w:eastAsia="Times New Roman"/>
      <w:sz w:val="22"/>
      <w:szCs w:val="22"/>
      <w:lang w:bidi="ar-SA"/>
    </w:rPr>
  </w:style>
  <w:style w:type="character" w:customStyle="1" w:styleId="apple-converted-space">
    <w:name w:val="apple-converted-space"/>
    <w:qFormat/>
  </w:style>
  <w:style w:type="character" w:customStyle="1" w:styleId="TitleChar">
    <w:name w:val="Title Char"/>
    <w:qFormat/>
    <w:rPr>
      <w:rFonts w:ascii="Times New Roman" w:eastAsia="Times New Roman" w:hAnsi="Times New Roman" w:cs="Mitra;Arial"/>
      <w:b/>
      <w:bCs/>
      <w:sz w:val="36"/>
      <w:szCs w:val="36"/>
      <w:lang w:val="en-US" w:eastAsia="en-US"/>
    </w:rPr>
  </w:style>
  <w:style w:type="character" w:customStyle="1" w:styleId="FootnoteTextChar">
    <w:name w:val="Footnote Text Char"/>
    <w:qFormat/>
    <w:rPr>
      <w:rFonts w:ascii="Times New Roman" w:eastAsia="Times New Roman" w:hAnsi="Times New Roman" w:cs="Traditional Arabic"/>
      <w:lang w:val="en-US" w:eastAsia="en-US"/>
    </w:rPr>
  </w:style>
  <w:style w:type="character" w:customStyle="1" w:styleId="FootnoteCharacters">
    <w:name w:val="Footnote Characters"/>
    <w:qFormat/>
    <w:rPr>
      <w:vertAlign w:val="superscript"/>
    </w:rPr>
  </w:style>
  <w:style w:type="character" w:customStyle="1" w:styleId="InternetLink">
    <w:name w:val="Internet Link"/>
    <w:rPr>
      <w:color w:val="0000FF"/>
      <w:u w:val="single"/>
    </w:rPr>
  </w:style>
  <w:style w:type="paragraph" w:customStyle="1" w:styleId="Heading">
    <w:name w:val="Heading"/>
    <w:basedOn w:val="Normal"/>
    <w:next w:val="BodyText"/>
    <w:qFormat/>
    <w:pPr>
      <w:bidi/>
      <w:spacing w:after="0" w:line="240" w:lineRule="auto"/>
      <w:jc w:val="center"/>
    </w:pPr>
    <w:rPr>
      <w:rFonts w:ascii="Times New Roman" w:eastAsia="Times New Roman" w:hAnsi="Times New Roman" w:cs="Mitra;Arial"/>
      <w:b/>
      <w:bCs/>
      <w:sz w:val="36"/>
      <w:szCs w:val="36"/>
      <w:lang w:eastAsia="en-US"/>
    </w:rPr>
  </w:style>
  <w:style w:type="paragraph" w:styleId="BodyText">
    <w:name w:val="Body Text"/>
    <w:basedOn w:val="Normal"/>
    <w:pPr>
      <w:spacing w:after="140"/>
    </w:pPr>
  </w:style>
  <w:style w:type="paragraph" w:styleId="List">
    <w:name w:val="List"/>
    <w:basedOn w:val="BodyText"/>
    <w:rPr>
      <w:rFonts w:cs="DejaVu Sans"/>
    </w:rPr>
  </w:style>
  <w:style w:type="paragraph" w:styleId="Caption">
    <w:name w:val="caption"/>
    <w:basedOn w:val="Normal"/>
    <w:qFormat/>
    <w:pPr>
      <w:suppressLineNumbers/>
      <w:spacing w:before="120" w:after="120"/>
    </w:pPr>
    <w:rPr>
      <w:rFonts w:cs="DejaVu Sans"/>
      <w:i/>
      <w:iCs/>
      <w:sz w:val="24"/>
      <w:szCs w:val="24"/>
    </w:rPr>
  </w:style>
  <w:style w:type="paragraph" w:customStyle="1" w:styleId="Index">
    <w:name w:val="Index"/>
    <w:basedOn w:val="Normal"/>
    <w:qFormat/>
    <w:pPr>
      <w:suppressLineNumbers/>
    </w:pPr>
    <w:rPr>
      <w:rFonts w:cs="DejaVu Sans"/>
    </w:rPr>
  </w:style>
  <w:style w:type="paragraph" w:customStyle="1" w:styleId="95">
    <w:name w:val="95   مراجع"/>
    <w:basedOn w:val="Normal"/>
    <w:qFormat/>
    <w:pPr>
      <w:bidi/>
      <w:spacing w:after="0" w:line="240" w:lineRule="auto"/>
      <w:ind w:left="262" w:right="262" w:hanging="262"/>
      <w:jc w:val="both"/>
    </w:pPr>
    <w:rPr>
      <w:rFonts w:ascii="Arial" w:eastAsia="Times New Roman" w:hAnsi="Arial" w:cs="B Nazanin"/>
      <w:sz w:val="18"/>
      <w:lang w:eastAsia="en-US" w:bidi="fa-IR"/>
    </w:rPr>
  </w:style>
  <w:style w:type="paragraph" w:customStyle="1" w:styleId="9">
    <w:name w:val="9   متن"/>
    <w:basedOn w:val="Normal"/>
    <w:qFormat/>
    <w:pPr>
      <w:widowControl w:val="0"/>
      <w:bidi/>
      <w:spacing w:after="0" w:line="240" w:lineRule="auto"/>
      <w:jc w:val="both"/>
    </w:pPr>
    <w:rPr>
      <w:rFonts w:ascii="Times New Roman" w:eastAsia="Times New Roman" w:hAnsi="Times New Roman" w:cs="B Nazanin"/>
      <w:sz w:val="20"/>
      <w:szCs w:val="24"/>
    </w:rPr>
  </w:style>
  <w:style w:type="paragraph" w:customStyle="1" w:styleId="8">
    <w:name w:val="8   تيتر اول"/>
    <w:basedOn w:val="Normal"/>
    <w:qFormat/>
    <w:pPr>
      <w:keepNext/>
      <w:bidi/>
      <w:spacing w:after="0" w:line="240" w:lineRule="auto"/>
      <w:ind w:left="7" w:right="7"/>
      <w:jc w:val="both"/>
    </w:pPr>
    <w:rPr>
      <w:rFonts w:ascii="Times New Roman" w:eastAsia="Times New Roman" w:hAnsi="Times New Roman" w:cs="B Nazanin"/>
      <w:b/>
      <w:bCs/>
      <w:sz w:val="24"/>
      <w:szCs w:val="28"/>
      <w:lang w:eastAsia="en-US" w:bidi="fa-IR"/>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styleId="NoSpacing">
    <w:name w:val="No Spacing"/>
    <w:qFormat/>
    <w:pPr>
      <w:suppressAutoHyphens/>
    </w:pPr>
    <w:rPr>
      <w:rFonts w:ascii="Calibri" w:eastAsia="Times New Roman" w:hAnsi="Calibri" w:cs="Arial"/>
      <w:sz w:val="22"/>
      <w:szCs w:val="22"/>
      <w:lang w:bidi="ar-SA"/>
    </w:rPr>
  </w:style>
  <w:style w:type="paragraph" w:styleId="FootnoteText">
    <w:name w:val="footnote text"/>
    <w:basedOn w:val="Normal"/>
    <w:pPr>
      <w:spacing w:after="0" w:line="240" w:lineRule="auto"/>
    </w:pPr>
    <w:rPr>
      <w:rFonts w:ascii="Times New Roman" w:eastAsia="Times New Roman" w:hAnsi="Times New Roman" w:cs="Traditional Arabic"/>
      <w:sz w:val="20"/>
      <w:szCs w:val="20"/>
      <w:lang w:eastAsia="en-US"/>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مدیریت فرهنگ و توسعه اقتصادی</vt:lpstr>
    </vt:vector>
  </TitlesOfParts>
  <Company/>
  <LinksUpToDate>false</LinksUpToDate>
  <CharactersWithSpaces>2324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مدیریت فرهنگ و توسعه اقتصادی</dc:title>
  <dc:subject/>
  <dc:creator>ht</dc:creator>
  <dc:description/>
  <cp:lastModifiedBy>icu-agoli</cp:lastModifiedBy>
  <cp:revision>2</cp:revision>
  <dcterms:created xsi:type="dcterms:W3CDTF">2025-11-15T20:06:00Z</dcterms:created>
  <dcterms:modified xsi:type="dcterms:W3CDTF">2025-11-15T20:06:00Z</dcterms:modified>
  <dc:language>en-US</dc:language>
</cp:coreProperties>
</file>