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373A0" w14:textId="77777777" w:rsidR="00931BA1" w:rsidRDefault="00931BA1" w:rsidP="00931BA1">
      <w:pPr>
        <w:pStyle w:val="Title"/>
        <w:rPr>
          <w:rFonts w:cs="Nazanin" w:hint="cs"/>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7A9EB086" w14:textId="7063AE4C" w:rsidR="00B4352A" w:rsidRDefault="00274687" w:rsidP="00274687">
      <w:pPr>
        <w:widowControl w:val="0"/>
        <w:jc w:val="center"/>
        <w:rPr>
          <w:rFonts w:ascii="Garamond" w:hAnsi="Garamond"/>
          <w:color w:val="000000"/>
          <w:sz w:val="18"/>
          <w:szCs w:val="18"/>
        </w:rPr>
      </w:pPr>
      <w:r w:rsidRPr="00274687">
        <w:rPr>
          <w:rFonts w:cs="Nazanin"/>
          <w:sz w:val="28"/>
          <w:szCs w:val="36"/>
        </w:rPr>
        <w:t>Economic Evaluation in Occupational Health and Safety in Healthcare: A Review of Evidence and Best Practices</w:t>
      </w:r>
    </w:p>
    <w:p w14:paraId="34E70A94" w14:textId="77777777" w:rsidR="00B55AB2" w:rsidRPr="00D14553" w:rsidRDefault="00B55AB2" w:rsidP="00B55AB2">
      <w:pPr>
        <w:bidi/>
        <w:jc w:val="center"/>
        <w:rPr>
          <w:rFonts w:cs="Nazanin"/>
          <w:b/>
          <w:bCs/>
          <w:sz w:val="24"/>
          <w:szCs w:val="24"/>
        </w:rPr>
      </w:pPr>
    </w:p>
    <w:p w14:paraId="1FF790E7" w14:textId="77777777" w:rsidR="00CB67CE" w:rsidRDefault="00CB67CE" w:rsidP="00CB67CE">
      <w:pPr>
        <w:bidi/>
        <w:jc w:val="center"/>
        <w:rPr>
          <w:rFonts w:cs="Nazanin"/>
          <w:b/>
          <w:bCs/>
        </w:rPr>
      </w:pPr>
    </w:p>
    <w:p w14:paraId="49BF59FD" w14:textId="77777777" w:rsidR="001D0698" w:rsidRDefault="001D0698" w:rsidP="001D0698">
      <w:pPr>
        <w:widowControl w:val="0"/>
        <w:jc w:val="center"/>
        <w:rPr>
          <w:rFonts w:ascii="Garamond" w:hAnsi="Garamond"/>
          <w:color w:val="000000"/>
          <w:sz w:val="18"/>
          <w:szCs w:val="18"/>
        </w:rPr>
      </w:pPr>
    </w:p>
    <w:p w14:paraId="401BD35C" w14:textId="77777777" w:rsidR="005B7C78" w:rsidRPr="00B71B90" w:rsidRDefault="005B7C78" w:rsidP="005B7C78">
      <w:pPr>
        <w:spacing w:before="100" w:beforeAutospacing="1" w:after="100" w:afterAutospacing="1"/>
        <w:rPr>
          <w:rFonts w:cs="Times New Roman"/>
          <w:b/>
          <w:bCs/>
          <w:lang w:bidi="fa-IR"/>
        </w:rPr>
      </w:pPr>
      <w:r w:rsidRPr="00B71B90">
        <w:rPr>
          <w:rFonts w:cs="Times New Roman"/>
          <w:b/>
          <w:bCs/>
          <w:lang w:bidi="fa-IR"/>
        </w:rPr>
        <w:t>Seyed Reza Ahmadi Koupaei</w:t>
      </w:r>
      <w:r>
        <w:rPr>
          <w:rFonts w:cs="Times New Roman"/>
          <w:b/>
          <w:bCs/>
          <w:lang w:bidi="fa-IR"/>
        </w:rPr>
        <w:t>1</w:t>
      </w:r>
      <w:r w:rsidRPr="00B71B90">
        <w:rPr>
          <w:rFonts w:cs="Times New Roman"/>
          <w:b/>
          <w:bCs/>
          <w:lang w:bidi="fa-IR"/>
        </w:rPr>
        <w:t>, Ayoub Tavakolian</w:t>
      </w:r>
      <w:r>
        <w:rPr>
          <w:rFonts w:cs="Times New Roman"/>
          <w:b/>
          <w:bCs/>
          <w:lang w:bidi="fa-IR"/>
        </w:rPr>
        <w:t>1</w:t>
      </w:r>
      <w:r w:rsidRPr="00B71B90">
        <w:rPr>
          <w:rFonts w:cs="Times New Roman"/>
          <w:b/>
          <w:bCs/>
          <w:lang w:bidi="fa-IR"/>
        </w:rPr>
        <w:t xml:space="preserve">, </w:t>
      </w:r>
      <w:r w:rsidRPr="00E556DA">
        <w:rPr>
          <w:rFonts w:cs="Times New Roman"/>
          <w:b/>
          <w:bCs/>
          <w:lang w:bidi="fa-IR"/>
        </w:rPr>
        <w:t>Hassan Vahedi</w:t>
      </w:r>
      <w:r>
        <w:rPr>
          <w:rFonts w:cs="Times New Roman"/>
          <w:b/>
          <w:bCs/>
          <w:lang w:bidi="fa-IR"/>
        </w:rPr>
        <w:t>2</w:t>
      </w:r>
      <w:r w:rsidRPr="00B71B90">
        <w:rPr>
          <w:rFonts w:cs="Times New Roman"/>
          <w:b/>
          <w:bCs/>
          <w:lang w:bidi="fa-IR"/>
        </w:rPr>
        <w:t xml:space="preserve">, </w:t>
      </w:r>
      <w:r>
        <w:rPr>
          <w:rFonts w:cs="Times New Roman"/>
          <w:b/>
          <w:bCs/>
          <w:lang w:bidi="fa-IR"/>
        </w:rPr>
        <w:t>Fatemeh</w:t>
      </w:r>
      <w:r w:rsidRPr="00B71B90">
        <w:rPr>
          <w:rFonts w:cs="Times New Roman"/>
          <w:b/>
          <w:bCs/>
          <w:lang w:bidi="fa-IR"/>
        </w:rPr>
        <w:t xml:space="preserve"> Mahdizadeh</w:t>
      </w:r>
      <w:r>
        <w:rPr>
          <w:rFonts w:cs="Times New Roman"/>
          <w:b/>
          <w:bCs/>
          <w:lang w:bidi="fa-IR"/>
        </w:rPr>
        <w:t>3</w:t>
      </w:r>
      <w:r w:rsidRPr="00B71B90">
        <w:rPr>
          <w:rFonts w:cs="Times New Roman"/>
          <w:b/>
          <w:bCs/>
          <w:lang w:bidi="fa-IR"/>
        </w:rPr>
        <w:t>,</w:t>
      </w:r>
      <w:r w:rsidRPr="00A31E2D">
        <w:t xml:space="preserve"> </w:t>
      </w:r>
      <w:r w:rsidRPr="00A31E2D">
        <w:rPr>
          <w:rFonts w:cs="Times New Roman"/>
          <w:b/>
          <w:bCs/>
          <w:lang w:bidi="fa-IR"/>
        </w:rPr>
        <w:t>Mohammad Dashti</w:t>
      </w:r>
      <w:r w:rsidRPr="00B71B90">
        <w:rPr>
          <w:rFonts w:cs="Times New Roman"/>
          <w:b/>
          <w:bCs/>
          <w:lang w:bidi="fa-IR"/>
        </w:rPr>
        <w:t xml:space="preserve"> </w:t>
      </w:r>
      <w:r>
        <w:rPr>
          <w:rFonts w:cs="Times New Roman"/>
          <w:b/>
          <w:bCs/>
          <w:lang w:bidi="fa-IR"/>
        </w:rPr>
        <w:t>4</w:t>
      </w:r>
      <w:r w:rsidRPr="00B71B90">
        <w:rPr>
          <w:rFonts w:cs="Times New Roman"/>
          <w:b/>
          <w:bCs/>
          <w:lang w:bidi="fa-IR"/>
        </w:rPr>
        <w:t>*</w:t>
      </w:r>
    </w:p>
    <w:p w14:paraId="068849BD" w14:textId="77777777" w:rsidR="005B7C78" w:rsidRDefault="005B7C78" w:rsidP="005B7C78">
      <w:pPr>
        <w:spacing w:before="100" w:beforeAutospacing="1" w:after="100" w:afterAutospacing="1"/>
        <w:rPr>
          <w:rFonts w:cs="Times New Roman"/>
          <w:b/>
          <w:bCs/>
          <w:lang w:bidi="fa-IR"/>
        </w:rPr>
      </w:pPr>
      <w:r w:rsidRPr="00B71B90">
        <w:rPr>
          <w:rFonts w:cs="Times New Roman"/>
          <w:b/>
          <w:bCs/>
          <w:lang w:bidi="fa-IR"/>
        </w:rPr>
        <w:br/>
      </w:r>
      <w:r>
        <w:rPr>
          <w:rFonts w:cs="Times New Roman"/>
          <w:b/>
          <w:bCs/>
          <w:lang w:bidi="fa-IR"/>
        </w:rPr>
        <w:t xml:space="preserve">1. </w:t>
      </w:r>
      <w:r w:rsidRPr="00B71B90">
        <w:rPr>
          <w:rFonts w:cs="Times New Roman"/>
          <w:b/>
          <w:bCs/>
          <w:lang w:bidi="fa-IR"/>
        </w:rPr>
        <w:t xml:space="preserve">Department of Emergency Medicine, Faculty of Medicine, Mashhad University of </w:t>
      </w:r>
      <w:r>
        <w:rPr>
          <w:rFonts w:cs="Times New Roman"/>
          <w:b/>
          <w:bCs/>
          <w:lang w:bidi="fa-IR"/>
        </w:rPr>
        <w:t>Medical Sciences, Mashhad, Iran</w:t>
      </w:r>
    </w:p>
    <w:p w14:paraId="35819EEB" w14:textId="77777777" w:rsidR="005B7C78" w:rsidRDefault="005B7C78" w:rsidP="005B7C78">
      <w:pPr>
        <w:spacing w:before="100" w:beforeAutospacing="1" w:after="100" w:afterAutospacing="1"/>
        <w:rPr>
          <w:rFonts w:cs="Times New Roman"/>
          <w:b/>
          <w:bCs/>
          <w:lang w:bidi="fa-IR"/>
        </w:rPr>
      </w:pPr>
      <w:r>
        <w:rPr>
          <w:rFonts w:cs="Times New Roman"/>
          <w:b/>
          <w:bCs/>
          <w:lang w:bidi="fa-IR"/>
        </w:rPr>
        <w:t>2.</w:t>
      </w:r>
      <w:r w:rsidRPr="00E556DA">
        <w:t xml:space="preserve"> </w:t>
      </w:r>
      <w:r w:rsidRPr="00047678">
        <w:rPr>
          <w:rFonts w:cs="Times New Roman"/>
          <w:b/>
          <w:bCs/>
          <w:lang w:bidi="fa-IR"/>
        </w:rPr>
        <w:t>Assistant Professor, Department of Management, Shahroud Branch, Islamic Azad University, Shahroud, Iran</w:t>
      </w:r>
    </w:p>
    <w:p w14:paraId="36D353E4" w14:textId="77777777" w:rsidR="00D5705D" w:rsidRDefault="005B7C78" w:rsidP="00D5705D">
      <w:pPr>
        <w:spacing w:before="100" w:beforeAutospacing="1" w:after="100" w:afterAutospacing="1"/>
        <w:rPr>
          <w:rFonts w:cs="Times New Roman"/>
          <w:b/>
          <w:bCs/>
          <w:rtl/>
          <w:lang w:bidi="fa-IR"/>
        </w:rPr>
      </w:pPr>
      <w:r>
        <w:rPr>
          <w:rFonts w:cs="Times New Roman"/>
          <w:b/>
          <w:bCs/>
          <w:lang w:bidi="fa-IR"/>
        </w:rPr>
        <w:t>3</w:t>
      </w:r>
      <w:r w:rsidR="00D5705D" w:rsidRPr="00D5705D">
        <w:t xml:space="preserve"> </w:t>
      </w:r>
      <w:r w:rsidR="00D5705D" w:rsidRPr="00D5705D">
        <w:rPr>
          <w:rFonts w:cs="Times New Roman"/>
          <w:b/>
          <w:bCs/>
          <w:lang w:bidi="fa-IR"/>
        </w:rPr>
        <w:t>MSc student of computer networks, Iqbal Institute of Higher Education, Mashhad, Iran</w:t>
      </w:r>
    </w:p>
    <w:p w14:paraId="32FDD57E" w14:textId="644624C6" w:rsidR="005B7C78" w:rsidRPr="00B71B90" w:rsidRDefault="005B7C78" w:rsidP="00D5705D">
      <w:pPr>
        <w:spacing w:before="100" w:beforeAutospacing="1" w:after="100" w:afterAutospacing="1"/>
        <w:rPr>
          <w:rFonts w:cs="Times New Roman"/>
          <w:b/>
          <w:bCs/>
          <w:lang w:bidi="fa-IR"/>
        </w:rPr>
      </w:pPr>
      <w:bookmarkStart w:id="4" w:name="_GoBack"/>
      <w:bookmarkEnd w:id="4"/>
      <w:r>
        <w:rPr>
          <w:rFonts w:cs="Times New Roman"/>
          <w:b/>
          <w:bCs/>
          <w:lang w:bidi="fa-IR"/>
        </w:rPr>
        <w:t xml:space="preserve">4. </w:t>
      </w:r>
      <w:r w:rsidRPr="00A31E2D">
        <w:rPr>
          <w:rFonts w:cs="Times New Roman"/>
          <w:b/>
          <w:bCs/>
          <w:lang w:bidi="fa-IR"/>
        </w:rPr>
        <w:t xml:space="preserve">Ph.D. Student, Department of </w:t>
      </w:r>
      <w:r w:rsidRPr="00047678">
        <w:rPr>
          <w:rFonts w:cs="Times New Roman"/>
          <w:b/>
          <w:bCs/>
          <w:lang w:bidi="fa-IR"/>
        </w:rPr>
        <w:t>Management</w:t>
      </w:r>
      <w:r w:rsidRPr="00A31E2D">
        <w:rPr>
          <w:rFonts w:cs="Times New Roman"/>
          <w:b/>
          <w:bCs/>
          <w:lang w:bidi="fa-IR"/>
        </w:rPr>
        <w:t xml:space="preserve">, </w:t>
      </w:r>
      <w:r w:rsidRPr="00047678">
        <w:rPr>
          <w:rFonts w:cs="Times New Roman"/>
          <w:b/>
          <w:bCs/>
          <w:lang w:bidi="fa-IR"/>
        </w:rPr>
        <w:t xml:space="preserve">Shahroud </w:t>
      </w:r>
      <w:r w:rsidRPr="00A31E2D">
        <w:rPr>
          <w:rFonts w:cs="Times New Roman"/>
          <w:b/>
          <w:bCs/>
          <w:lang w:bidi="fa-IR"/>
        </w:rPr>
        <w:t xml:space="preserve">Branch, Islamic Azad University, </w:t>
      </w:r>
      <w:r w:rsidRPr="00047678">
        <w:rPr>
          <w:rFonts w:cs="Times New Roman"/>
          <w:b/>
          <w:bCs/>
          <w:lang w:bidi="fa-IR"/>
        </w:rPr>
        <w:t>Shahroud</w:t>
      </w:r>
      <w:r w:rsidRPr="00A31E2D">
        <w:rPr>
          <w:rFonts w:cs="Times New Roman"/>
          <w:b/>
          <w:bCs/>
          <w:lang w:bidi="fa-IR"/>
        </w:rPr>
        <w:t>, Iran</w:t>
      </w:r>
    </w:p>
    <w:p w14:paraId="777EB59F" w14:textId="77777777" w:rsidR="00F728DC" w:rsidRDefault="00F728DC" w:rsidP="00B55AB2">
      <w:pPr>
        <w:pStyle w:val="Heading2"/>
        <w:ind w:left="567" w:right="567"/>
        <w:jc w:val="both"/>
        <w:rPr>
          <w:rFonts w:cs="Nazanin"/>
          <w:sz w:val="28"/>
          <w:szCs w:val="28"/>
          <w:rtl/>
          <w:lang w:bidi="fa-IR"/>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29D77E8F" w14:textId="77777777" w:rsidR="00274687" w:rsidRPr="00201F44" w:rsidRDefault="00274687" w:rsidP="00274687">
      <w:pPr>
        <w:bidi/>
        <w:jc w:val="center"/>
        <w:rPr>
          <w:b/>
          <w:bCs/>
        </w:rPr>
      </w:pPr>
      <w:bookmarkStart w:id="5" w:name="OLE_LINK8"/>
      <w:bookmarkStart w:id="6" w:name="OLE_LINK9"/>
    </w:p>
    <w:p w14:paraId="14F95FE6" w14:textId="341895CD" w:rsidR="00201F44" w:rsidRPr="00201F44" w:rsidRDefault="00201F44" w:rsidP="00201F44">
      <w:pPr>
        <w:pStyle w:val="Heading2"/>
        <w:bidi w:val="0"/>
        <w:ind w:left="567" w:right="567"/>
        <w:jc w:val="left"/>
        <w:rPr>
          <w:b w:val="0"/>
          <w:bCs w:val="0"/>
          <w:sz w:val="20"/>
          <w:szCs w:val="20"/>
        </w:rPr>
      </w:pPr>
      <w:r w:rsidRPr="00201F44">
        <w:rPr>
          <w:rStyle w:val="Strong"/>
          <w:b/>
          <w:bCs/>
          <w:sz w:val="20"/>
          <w:szCs w:val="20"/>
        </w:rPr>
        <w:t>Background:</w:t>
      </w:r>
      <w:r w:rsidRPr="00201F44">
        <w:rPr>
          <w:b w:val="0"/>
          <w:bCs w:val="0"/>
          <w:sz w:val="20"/>
          <w:szCs w:val="20"/>
        </w:rPr>
        <w:br/>
        <w:t>Occupational health and safety (OHS) is essential in healthcare settings to protect staff from workplace hazards, including infectious agents, chemical exposures, and musculoskeletal injuries, while ensuring high-quality patient care. Despite significant investment in healthcare infrastructure, staff remain at risk of injury, illness, and burnout, which increases absenteeism, reduces productivity, and elevates operational costs.This review aims to summarize evidence on the economic evaluation of OHS interventions in hospitals and healthcare centers, highlighting cost-benefit and cost-effectiveness outcomes and their impact on employee well-being and organizational efficiency.</w:t>
      </w:r>
    </w:p>
    <w:p w14:paraId="3DE0CA21" w14:textId="77777777" w:rsidR="00201F44" w:rsidRPr="00201F44" w:rsidRDefault="00201F44" w:rsidP="00201F44">
      <w:pPr>
        <w:pStyle w:val="Heading2"/>
        <w:bidi w:val="0"/>
        <w:ind w:left="567" w:right="567"/>
        <w:jc w:val="left"/>
        <w:rPr>
          <w:b w:val="0"/>
          <w:bCs w:val="0"/>
          <w:sz w:val="20"/>
          <w:szCs w:val="20"/>
        </w:rPr>
      </w:pPr>
      <w:r w:rsidRPr="00201F44">
        <w:rPr>
          <w:rStyle w:val="Strong"/>
          <w:b/>
          <w:bCs/>
          <w:sz w:val="20"/>
          <w:szCs w:val="20"/>
        </w:rPr>
        <w:t>Methods:</w:t>
      </w:r>
      <w:r w:rsidRPr="00201F44">
        <w:rPr>
          <w:b w:val="0"/>
          <w:bCs w:val="0"/>
          <w:sz w:val="20"/>
          <w:szCs w:val="20"/>
        </w:rPr>
        <w:br/>
        <w:t>A narrative review of studies published between 2010 and 2025 was conducted using PubMed, Scopus, and Web of Science. Keywords included “Occupational Health Economics,” “Cost-effectiveness,” “Cost-benefit Analysis,” “Healthcare Safety Programs,” and “Employee Safety.” Studies reporting economic assessments of preventive OHS interventions, such as vaccination, ergonomics, personal protective equipment (PPE), and safety training, were included.</w:t>
      </w:r>
    </w:p>
    <w:p w14:paraId="73B72A14" w14:textId="77777777" w:rsidR="00201F44" w:rsidRPr="00201F44" w:rsidRDefault="00201F44" w:rsidP="00201F44">
      <w:pPr>
        <w:pStyle w:val="Heading2"/>
        <w:bidi w:val="0"/>
        <w:ind w:left="567" w:right="567"/>
        <w:jc w:val="left"/>
        <w:rPr>
          <w:b w:val="0"/>
          <w:bCs w:val="0"/>
          <w:sz w:val="20"/>
          <w:szCs w:val="20"/>
        </w:rPr>
      </w:pPr>
      <w:r w:rsidRPr="00201F44">
        <w:rPr>
          <w:rStyle w:val="Strong"/>
          <w:b/>
          <w:bCs/>
          <w:sz w:val="20"/>
          <w:szCs w:val="20"/>
        </w:rPr>
        <w:t>Results:</w:t>
      </w:r>
      <w:r w:rsidRPr="00201F44">
        <w:rPr>
          <w:b w:val="0"/>
          <w:bCs w:val="0"/>
          <w:sz w:val="20"/>
          <w:szCs w:val="20"/>
        </w:rPr>
        <w:br/>
        <w:t>Evidence shows that preventive OHS strategies consistently yield substantial economic benefits by reducing direct medical costs, compensation claims, absenteeism, presenteeism, and staff turnover. Interventions also improve employee morale, decrease burnout, and foster a positive safety culture, supporting long-term workforce sustainability.</w:t>
      </w:r>
    </w:p>
    <w:p w14:paraId="7668DAC8" w14:textId="485068D4" w:rsidR="00273820" w:rsidRPr="00201F44" w:rsidRDefault="00201F44" w:rsidP="00201F44">
      <w:pPr>
        <w:pStyle w:val="Heading2"/>
        <w:bidi w:val="0"/>
        <w:ind w:left="567" w:right="567"/>
        <w:jc w:val="left"/>
        <w:rPr>
          <w:rFonts w:cs="Times New Roman"/>
          <w:b w:val="0"/>
          <w:bCs w:val="0"/>
          <w:sz w:val="20"/>
          <w:szCs w:val="20"/>
          <w:rtl/>
          <w:lang w:bidi="fa-IR"/>
        </w:rPr>
      </w:pPr>
      <w:r w:rsidRPr="00201F44">
        <w:rPr>
          <w:rStyle w:val="Strong"/>
          <w:b/>
          <w:bCs/>
          <w:sz w:val="20"/>
          <w:szCs w:val="20"/>
        </w:rPr>
        <w:t>Conclusion</w:t>
      </w:r>
      <w:r w:rsidRPr="00201F44">
        <w:rPr>
          <w:rStyle w:val="Strong"/>
          <w:sz w:val="20"/>
          <w:szCs w:val="20"/>
        </w:rPr>
        <w:t>:</w:t>
      </w:r>
      <w:r w:rsidRPr="00201F44">
        <w:rPr>
          <w:sz w:val="20"/>
          <w:szCs w:val="20"/>
        </w:rPr>
        <w:br/>
      </w:r>
      <w:r w:rsidRPr="00201F44">
        <w:rPr>
          <w:b w:val="0"/>
          <w:bCs w:val="0"/>
          <w:sz w:val="20"/>
          <w:szCs w:val="20"/>
        </w:rPr>
        <w:t>Integrating economic evaluation into OHS planning enables healthcare administrators to prioritize high-impact interventions, optimize resource allocation, and enhance both employee well-being and organizational efficiency. Evidence-based, economically justified OHS programs are crucial for maintaining a safe, healthy, and productive healthcare workforce.</w:t>
      </w:r>
    </w:p>
    <w:p w14:paraId="2F9E1C40" w14:textId="77777777" w:rsidR="00273820" w:rsidRPr="00201F44" w:rsidRDefault="00273820" w:rsidP="00273820">
      <w:pPr>
        <w:bidi/>
        <w:jc w:val="center"/>
        <w:rPr>
          <w:rFonts w:cs="Nazanin"/>
          <w:sz w:val="28"/>
          <w:szCs w:val="32"/>
          <w:rtl/>
          <w:lang w:bidi="fa-IR"/>
        </w:rPr>
      </w:pPr>
    </w:p>
    <w:p w14:paraId="5FAE84D0" w14:textId="276ED0E1" w:rsidR="00D14553" w:rsidRPr="00201F44" w:rsidRDefault="00D26024" w:rsidP="00201F44">
      <w:pPr>
        <w:pStyle w:val="Heading2"/>
        <w:bidi w:val="0"/>
        <w:ind w:left="567" w:right="567"/>
        <w:jc w:val="left"/>
        <w:rPr>
          <w:rFonts w:cs="Nazanin"/>
          <w:b w:val="0"/>
          <w:bCs w:val="0"/>
          <w:sz w:val="20"/>
          <w:szCs w:val="20"/>
          <w:rtl/>
          <w:lang w:bidi="fa-IR"/>
        </w:rPr>
      </w:pPr>
      <w:r w:rsidRPr="00201F44">
        <w:rPr>
          <w:rFonts w:cs="Nazanin"/>
          <w:sz w:val="20"/>
          <w:szCs w:val="20"/>
        </w:rPr>
        <w:t>Keywords</w:t>
      </w:r>
      <w:r w:rsidRPr="00201F44">
        <w:rPr>
          <w:rFonts w:cs="Traditional Arabic"/>
          <w:b w:val="0"/>
          <w:bCs w:val="0"/>
          <w:sz w:val="20"/>
          <w:szCs w:val="20"/>
        </w:rPr>
        <w:t xml:space="preserve">: </w:t>
      </w:r>
      <w:r w:rsidR="00274687" w:rsidRPr="00201F44">
        <w:rPr>
          <w:rFonts w:cs="Traditional Arabic"/>
          <w:b w:val="0"/>
          <w:bCs w:val="0"/>
          <w:sz w:val="20"/>
          <w:szCs w:val="20"/>
        </w:rPr>
        <w:t>Occupational Health, Safety, Economic Evaluation, Healthcare, Cost-effectiveness</w:t>
      </w:r>
    </w:p>
    <w:p w14:paraId="4529F6EE" w14:textId="5B59BC01" w:rsidR="00D14553" w:rsidRDefault="00D14553" w:rsidP="00D14553">
      <w:pPr>
        <w:bidi/>
        <w:jc w:val="center"/>
        <w:rPr>
          <w:rFonts w:cs="Nazanin"/>
          <w:b/>
          <w:bCs/>
          <w:sz w:val="28"/>
          <w:szCs w:val="32"/>
          <w:rtl/>
          <w:lang w:bidi="fa-IR"/>
        </w:rPr>
      </w:pPr>
    </w:p>
    <w:p w14:paraId="1C8E6801" w14:textId="24B04BF5" w:rsidR="00201F44" w:rsidRDefault="00201F44" w:rsidP="00201F44">
      <w:pPr>
        <w:bidi/>
        <w:jc w:val="center"/>
        <w:rPr>
          <w:rFonts w:cs="Nazanin"/>
          <w:b/>
          <w:bCs/>
          <w:sz w:val="28"/>
          <w:szCs w:val="32"/>
          <w:rtl/>
          <w:lang w:bidi="fa-IR"/>
        </w:rPr>
      </w:pPr>
    </w:p>
    <w:p w14:paraId="1A5ECE32" w14:textId="5D5F4E5A" w:rsidR="00201F44" w:rsidRDefault="00201F44" w:rsidP="00201F44">
      <w:pPr>
        <w:bidi/>
        <w:jc w:val="center"/>
        <w:rPr>
          <w:rFonts w:cs="Nazanin"/>
          <w:b/>
          <w:bCs/>
          <w:sz w:val="28"/>
          <w:szCs w:val="32"/>
          <w:rtl/>
          <w:lang w:bidi="fa-IR"/>
        </w:rPr>
      </w:pPr>
    </w:p>
    <w:p w14:paraId="2C4DC869" w14:textId="29BBBF4B" w:rsidR="00201F44" w:rsidRDefault="00201F44" w:rsidP="00201F44">
      <w:pPr>
        <w:bidi/>
        <w:jc w:val="center"/>
        <w:rPr>
          <w:rFonts w:cs="Nazanin"/>
          <w:b/>
          <w:bCs/>
          <w:sz w:val="28"/>
          <w:szCs w:val="32"/>
          <w:rtl/>
          <w:lang w:bidi="fa-IR"/>
        </w:rPr>
      </w:pPr>
    </w:p>
    <w:bookmarkEnd w:id="5"/>
    <w:bookmarkEnd w:id="6"/>
    <w:p w14:paraId="3A0C0130" w14:textId="055F5312" w:rsidR="00AC5402" w:rsidRDefault="00201F44" w:rsidP="00AC5402">
      <w:pPr>
        <w:spacing w:line="232" w:lineRule="auto"/>
      </w:pPr>
      <w:r>
        <w:rPr>
          <w:rFonts w:cs="Nazanin"/>
          <w:b/>
          <w:bCs/>
          <w:lang w:bidi="fa-IR"/>
        </w:rPr>
        <w:t>1.</w:t>
      </w:r>
      <w:r w:rsidR="00AC5402" w:rsidRPr="00AC5402">
        <w:rPr>
          <w:rFonts w:cs="Nazanin"/>
          <w:b/>
          <w:bCs/>
          <w:lang w:bidi="fa-IR"/>
        </w:rPr>
        <w:t>Introduction</w:t>
      </w:r>
    </w:p>
    <w:p w14:paraId="5C12F5A4" w14:textId="00EA5D5A" w:rsidR="00AC5402" w:rsidRDefault="00AC5402" w:rsidP="00AC5402">
      <w:pPr>
        <w:spacing w:line="232" w:lineRule="auto"/>
      </w:pPr>
      <w:r>
        <w:t>Hospitals and healthcare centers are high-risk workplaces due to constant exposure to infectious agents, chemical hazards, physical strain, and psychosocial stressors. Healthcare workers, including nurses, physicians, and support staff, face frequent occupational hazards such as needlestick injuries, musculoskeletal disorders, slips, and falls. These incidents not only threaten employee health but also negatively impact patient care quality, increase absenteeism, and impose substantial financial burdens on healthcare institutions (Prüss-Üstün, Probst, &amp; Corvalán, 2016).</w:t>
      </w:r>
    </w:p>
    <w:p w14:paraId="5E666FB0" w14:textId="77777777" w:rsidR="00AC5402" w:rsidRDefault="00AC5402" w:rsidP="00AC5402">
      <w:pPr>
        <w:spacing w:line="232" w:lineRule="auto"/>
      </w:pPr>
    </w:p>
    <w:p w14:paraId="1AD7AE59" w14:textId="77777777" w:rsidR="00AC5402" w:rsidRDefault="00AC5402" w:rsidP="00AC5402">
      <w:pPr>
        <w:spacing w:line="232" w:lineRule="auto"/>
      </w:pPr>
      <w:r>
        <w:t>Occupational health and safety (OHS) programs aim to minimize these risks by implementing preventive measures, including vaccination campaigns, ergonomics training, personal protective equipment (PPE), and safety protocols. While such interventions improve staff well-being and reduce injuries, they require upfront investment, and their economic justification is a key consideration for hospital administrators (Goetzel et al., 2018).</w:t>
      </w:r>
    </w:p>
    <w:p w14:paraId="5F484606" w14:textId="77777777" w:rsidR="00AC5402" w:rsidRDefault="00AC5402" w:rsidP="00AC5402">
      <w:pPr>
        <w:spacing w:line="232" w:lineRule="auto"/>
      </w:pPr>
    </w:p>
    <w:p w14:paraId="72B34F22" w14:textId="77777777" w:rsidR="00AC5402" w:rsidRDefault="00AC5402" w:rsidP="00AC5402">
      <w:pPr>
        <w:spacing w:line="232" w:lineRule="auto"/>
      </w:pPr>
      <w:r>
        <w:t>Economic evaluation, including cost-benefit analysis (CBA) and cost-effectiveness analysis (CEA), provides a framework to assess the financial and health impact of OHS programs. By quantifying both the costs of implementation and the savings from reduced injuries and absenteeism, hospitals can prioritize interventions that provide the greatest return on investment. Despite the clear importance, the integration of economic assessment into OHS decision-making remains limited in many healthcare settings, particularly in low- and middle-income countries (Hassani, Hashemi, &amp; Farrokhi, 2021).</w:t>
      </w:r>
    </w:p>
    <w:p w14:paraId="63EFCE53" w14:textId="77777777" w:rsidR="00AC5402" w:rsidRDefault="00AC5402" w:rsidP="00AC5402">
      <w:pPr>
        <w:spacing w:line="232" w:lineRule="auto"/>
      </w:pPr>
    </w:p>
    <w:p w14:paraId="748ED4DB" w14:textId="058550CE" w:rsidR="000B200C" w:rsidRDefault="00AC5402" w:rsidP="00AC5402">
      <w:pPr>
        <w:spacing w:line="232" w:lineRule="auto"/>
        <w:jc w:val="both"/>
        <w:rPr>
          <w:b/>
          <w:bCs/>
        </w:rPr>
      </w:pPr>
      <w:r>
        <w:t>This review aims to summarize current evidence on the economic evaluation of OHS interventions in healthcare. Specifically, it focuses on preventive strategies, their cost-effectiveness, and their impact on workforce productivity and institutional efficiency. By consolidating available data, this review provides guidance for healthcare managers and policymakers to implement evidence-based, economically justified OHS programs.</w:t>
      </w:r>
    </w:p>
    <w:p w14:paraId="3BC87C4F" w14:textId="77777777" w:rsidR="00AC5402" w:rsidRDefault="00AC5402" w:rsidP="00AC5402">
      <w:pPr>
        <w:pStyle w:val="Heading2"/>
        <w:bidi w:val="0"/>
        <w:jc w:val="left"/>
        <w:rPr>
          <w:rStyle w:val="Strong"/>
          <w:b/>
          <w:bCs/>
          <w:sz w:val="20"/>
          <w:szCs w:val="20"/>
        </w:rPr>
      </w:pPr>
    </w:p>
    <w:p w14:paraId="2ADA2179" w14:textId="77777777" w:rsidR="00AC5402" w:rsidRDefault="00AC5402" w:rsidP="00AC5402">
      <w:pPr>
        <w:pStyle w:val="NormalWeb"/>
        <w:rPr>
          <w:sz w:val="20"/>
          <w:szCs w:val="20"/>
        </w:rPr>
      </w:pPr>
      <w:r w:rsidRPr="00AC5402">
        <w:rPr>
          <w:rStyle w:val="Strong"/>
          <w:rFonts w:cs="Mitra"/>
          <w:noProof/>
          <w:sz w:val="20"/>
          <w:szCs w:val="20"/>
          <w:lang w:bidi="ar-SA"/>
        </w:rPr>
        <w:t>2. Methods</w:t>
      </w:r>
    </w:p>
    <w:p w14:paraId="61AB7421" w14:textId="3F834AD2" w:rsidR="00AC5402" w:rsidRPr="00AC5402" w:rsidRDefault="00AC5402" w:rsidP="00AC5402">
      <w:pPr>
        <w:pStyle w:val="NormalWeb"/>
        <w:rPr>
          <w:sz w:val="20"/>
          <w:szCs w:val="20"/>
        </w:rPr>
      </w:pPr>
      <w:r w:rsidRPr="00AC5402">
        <w:rPr>
          <w:sz w:val="20"/>
          <w:szCs w:val="20"/>
        </w:rPr>
        <w:t>This narrative review was conducted to summarize evidence on the economic evaluation of occupational health and safety (OHS) interventions in healthcare settings. The review focused on studies that examined the costs, cost-effectiveness, and financial benefits of preventive strategies aimed at improving workforce safety and reducing occupational hazards.</w:t>
      </w:r>
    </w:p>
    <w:p w14:paraId="09930A48" w14:textId="77777777" w:rsidR="00AC5402" w:rsidRPr="00AC5402" w:rsidRDefault="00AC5402" w:rsidP="00AC5402">
      <w:pPr>
        <w:pStyle w:val="Heading3"/>
        <w:bidi w:val="0"/>
        <w:jc w:val="left"/>
        <w:rPr>
          <w:sz w:val="20"/>
          <w:szCs w:val="20"/>
        </w:rPr>
      </w:pPr>
      <w:r w:rsidRPr="00AC5402">
        <w:rPr>
          <w:rStyle w:val="Strong"/>
          <w:b/>
          <w:bCs/>
          <w:sz w:val="20"/>
          <w:szCs w:val="20"/>
        </w:rPr>
        <w:t>2.1 Search Strategy</w:t>
      </w:r>
    </w:p>
    <w:p w14:paraId="68FE1C09" w14:textId="77777777" w:rsidR="00AC5402" w:rsidRPr="00AC5402" w:rsidRDefault="00AC5402" w:rsidP="00AC5402">
      <w:pPr>
        <w:pStyle w:val="NormalWeb"/>
        <w:rPr>
          <w:sz w:val="20"/>
          <w:szCs w:val="20"/>
        </w:rPr>
      </w:pPr>
      <w:r w:rsidRPr="00AC5402">
        <w:rPr>
          <w:sz w:val="20"/>
          <w:szCs w:val="20"/>
        </w:rPr>
        <w:t xml:space="preserve">A systematic search of the literature was conducted in three electronic databases: </w:t>
      </w:r>
      <w:r w:rsidRPr="00AC5402">
        <w:rPr>
          <w:rStyle w:val="Strong"/>
          <w:sz w:val="20"/>
          <w:szCs w:val="20"/>
        </w:rPr>
        <w:t>PubMed, Scopus, and Web of Science</w:t>
      </w:r>
      <w:r w:rsidRPr="00AC5402">
        <w:rPr>
          <w:sz w:val="20"/>
          <w:szCs w:val="20"/>
        </w:rPr>
        <w:t xml:space="preserve">. The search covered publications from </w:t>
      </w:r>
      <w:r w:rsidRPr="00AC5402">
        <w:rPr>
          <w:rStyle w:val="Strong"/>
          <w:sz w:val="20"/>
          <w:szCs w:val="20"/>
        </w:rPr>
        <w:t>2010 to 2025</w:t>
      </w:r>
      <w:r w:rsidRPr="00AC5402">
        <w:rPr>
          <w:sz w:val="20"/>
          <w:szCs w:val="20"/>
        </w:rPr>
        <w:t xml:space="preserve"> to capture recent evidence and current best practices in hospital OHS economic evaluation.</w:t>
      </w:r>
    </w:p>
    <w:p w14:paraId="778661BA" w14:textId="77777777" w:rsidR="00AC5402" w:rsidRPr="00AC5402" w:rsidRDefault="00AC5402" w:rsidP="00AC5402">
      <w:pPr>
        <w:pStyle w:val="NormalWeb"/>
        <w:rPr>
          <w:sz w:val="20"/>
          <w:szCs w:val="20"/>
        </w:rPr>
      </w:pPr>
      <w:r w:rsidRPr="00AC5402">
        <w:rPr>
          <w:sz w:val="20"/>
          <w:szCs w:val="20"/>
        </w:rPr>
        <w:t>The following keywords and combinations were used:</w:t>
      </w:r>
    </w:p>
    <w:p w14:paraId="79602250" w14:textId="77777777" w:rsidR="00AC5402" w:rsidRPr="00AC5402" w:rsidRDefault="00AC5402" w:rsidP="00AC5402">
      <w:pPr>
        <w:pStyle w:val="NormalWeb"/>
        <w:numPr>
          <w:ilvl w:val="0"/>
          <w:numId w:val="16"/>
        </w:numPr>
        <w:rPr>
          <w:sz w:val="20"/>
          <w:szCs w:val="20"/>
        </w:rPr>
      </w:pPr>
      <w:r w:rsidRPr="00AC5402">
        <w:rPr>
          <w:sz w:val="20"/>
          <w:szCs w:val="20"/>
        </w:rPr>
        <w:t>“Occupational Health Economics”</w:t>
      </w:r>
    </w:p>
    <w:p w14:paraId="7811601A" w14:textId="77777777" w:rsidR="00AC5402" w:rsidRPr="00AC5402" w:rsidRDefault="00AC5402" w:rsidP="00AC5402">
      <w:pPr>
        <w:pStyle w:val="NormalWeb"/>
        <w:numPr>
          <w:ilvl w:val="0"/>
          <w:numId w:val="16"/>
        </w:numPr>
        <w:rPr>
          <w:sz w:val="20"/>
          <w:szCs w:val="20"/>
        </w:rPr>
      </w:pPr>
      <w:r w:rsidRPr="00AC5402">
        <w:rPr>
          <w:sz w:val="20"/>
          <w:szCs w:val="20"/>
        </w:rPr>
        <w:t>“Cost-effectiveness”</w:t>
      </w:r>
    </w:p>
    <w:p w14:paraId="4DA0CE30" w14:textId="77777777" w:rsidR="00AC5402" w:rsidRPr="00AC5402" w:rsidRDefault="00AC5402" w:rsidP="00AC5402">
      <w:pPr>
        <w:pStyle w:val="NormalWeb"/>
        <w:numPr>
          <w:ilvl w:val="0"/>
          <w:numId w:val="16"/>
        </w:numPr>
        <w:rPr>
          <w:sz w:val="20"/>
          <w:szCs w:val="20"/>
        </w:rPr>
      </w:pPr>
      <w:r w:rsidRPr="00AC5402">
        <w:rPr>
          <w:sz w:val="20"/>
          <w:szCs w:val="20"/>
        </w:rPr>
        <w:t>“Cost-benefit Analysis”</w:t>
      </w:r>
    </w:p>
    <w:p w14:paraId="2D12F44F" w14:textId="77777777" w:rsidR="00AC5402" w:rsidRPr="00AC5402" w:rsidRDefault="00AC5402" w:rsidP="00AC5402">
      <w:pPr>
        <w:pStyle w:val="NormalWeb"/>
        <w:numPr>
          <w:ilvl w:val="0"/>
          <w:numId w:val="16"/>
        </w:numPr>
        <w:rPr>
          <w:sz w:val="20"/>
          <w:szCs w:val="20"/>
        </w:rPr>
      </w:pPr>
      <w:r w:rsidRPr="00AC5402">
        <w:rPr>
          <w:sz w:val="20"/>
          <w:szCs w:val="20"/>
        </w:rPr>
        <w:t>“Healthcare Safety Programs”</w:t>
      </w:r>
    </w:p>
    <w:p w14:paraId="4B33519E" w14:textId="77777777" w:rsidR="00AC5402" w:rsidRPr="00AC5402" w:rsidRDefault="00AC5402" w:rsidP="00AC5402">
      <w:pPr>
        <w:pStyle w:val="NormalWeb"/>
        <w:numPr>
          <w:ilvl w:val="0"/>
          <w:numId w:val="16"/>
        </w:numPr>
        <w:rPr>
          <w:sz w:val="20"/>
          <w:szCs w:val="20"/>
        </w:rPr>
      </w:pPr>
      <w:r w:rsidRPr="00AC5402">
        <w:rPr>
          <w:sz w:val="20"/>
          <w:szCs w:val="20"/>
        </w:rPr>
        <w:t>“Employee Safety”</w:t>
      </w:r>
    </w:p>
    <w:p w14:paraId="0ACEE8DA" w14:textId="77777777" w:rsidR="00AC5402" w:rsidRPr="00AC5402" w:rsidRDefault="00AC5402" w:rsidP="00AC5402">
      <w:pPr>
        <w:pStyle w:val="NormalWeb"/>
        <w:numPr>
          <w:ilvl w:val="0"/>
          <w:numId w:val="16"/>
        </w:numPr>
        <w:rPr>
          <w:sz w:val="20"/>
          <w:szCs w:val="20"/>
        </w:rPr>
      </w:pPr>
      <w:r w:rsidRPr="00AC5402">
        <w:rPr>
          <w:sz w:val="20"/>
          <w:szCs w:val="20"/>
        </w:rPr>
        <w:t>“Hospital Occupational Health”</w:t>
      </w:r>
    </w:p>
    <w:p w14:paraId="3EC7AD7D" w14:textId="77777777" w:rsidR="00AC5402" w:rsidRPr="00AC5402" w:rsidRDefault="00AC5402" w:rsidP="00AC5402">
      <w:pPr>
        <w:pStyle w:val="NormalWeb"/>
        <w:rPr>
          <w:sz w:val="20"/>
          <w:szCs w:val="20"/>
        </w:rPr>
      </w:pPr>
      <w:r w:rsidRPr="00AC5402">
        <w:rPr>
          <w:sz w:val="20"/>
          <w:szCs w:val="20"/>
        </w:rPr>
        <w:t>Boolean operators (AND, OR) were applied to combine terms effectively (e.g., “Occupational Health Economics AND Cost-effectiveness AND Healthcare”).</w:t>
      </w:r>
    </w:p>
    <w:p w14:paraId="0D577A64" w14:textId="77777777" w:rsidR="00AC5402" w:rsidRPr="00AC5402" w:rsidRDefault="00AC5402" w:rsidP="00AC5402">
      <w:pPr>
        <w:pStyle w:val="Heading3"/>
        <w:bidi w:val="0"/>
        <w:jc w:val="left"/>
        <w:rPr>
          <w:sz w:val="20"/>
          <w:szCs w:val="20"/>
        </w:rPr>
      </w:pPr>
      <w:r w:rsidRPr="00AC5402">
        <w:rPr>
          <w:rStyle w:val="Strong"/>
          <w:b/>
          <w:bCs/>
          <w:sz w:val="20"/>
          <w:szCs w:val="20"/>
        </w:rPr>
        <w:t>2.2 Inclusion and Exclusion Criteria</w:t>
      </w:r>
    </w:p>
    <w:p w14:paraId="6FFF09F8" w14:textId="77777777" w:rsidR="00AC5402" w:rsidRPr="00AC5402" w:rsidRDefault="00AC5402" w:rsidP="00AC5402">
      <w:pPr>
        <w:pStyle w:val="NormalWeb"/>
        <w:rPr>
          <w:sz w:val="20"/>
          <w:szCs w:val="20"/>
        </w:rPr>
      </w:pPr>
      <w:r w:rsidRPr="00AC5402">
        <w:rPr>
          <w:rStyle w:val="Strong"/>
          <w:sz w:val="20"/>
          <w:szCs w:val="20"/>
        </w:rPr>
        <w:t>Inclusion criteria:</w:t>
      </w:r>
    </w:p>
    <w:p w14:paraId="262E5F6A" w14:textId="77777777" w:rsidR="00AC5402" w:rsidRPr="00AC5402" w:rsidRDefault="00AC5402" w:rsidP="00AC5402">
      <w:pPr>
        <w:pStyle w:val="NormalWeb"/>
        <w:numPr>
          <w:ilvl w:val="0"/>
          <w:numId w:val="17"/>
        </w:numPr>
        <w:rPr>
          <w:sz w:val="20"/>
          <w:szCs w:val="20"/>
        </w:rPr>
      </w:pPr>
      <w:r w:rsidRPr="00AC5402">
        <w:rPr>
          <w:sz w:val="20"/>
          <w:szCs w:val="20"/>
        </w:rPr>
        <w:t>Studies evaluating economic aspects of OHS interventions in hospitals or healthcare centers.</w:t>
      </w:r>
    </w:p>
    <w:p w14:paraId="5C0F23C6" w14:textId="77777777" w:rsidR="00AC5402" w:rsidRPr="00AC5402" w:rsidRDefault="00AC5402" w:rsidP="00AC5402">
      <w:pPr>
        <w:pStyle w:val="NormalWeb"/>
        <w:numPr>
          <w:ilvl w:val="0"/>
          <w:numId w:val="17"/>
        </w:numPr>
        <w:rPr>
          <w:sz w:val="20"/>
          <w:szCs w:val="20"/>
        </w:rPr>
      </w:pPr>
      <w:r w:rsidRPr="00AC5402">
        <w:rPr>
          <w:sz w:val="20"/>
          <w:szCs w:val="20"/>
        </w:rPr>
        <w:lastRenderedPageBreak/>
        <w:t>Articles reporting cost-benefit analysis (CBA), cost-effectiveness analysis (CEA), or financial impact data.</w:t>
      </w:r>
    </w:p>
    <w:p w14:paraId="4BDC3A98" w14:textId="77777777" w:rsidR="00AC5402" w:rsidRPr="00AC5402" w:rsidRDefault="00AC5402" w:rsidP="00AC5402">
      <w:pPr>
        <w:pStyle w:val="NormalWeb"/>
        <w:numPr>
          <w:ilvl w:val="0"/>
          <w:numId w:val="17"/>
        </w:numPr>
        <w:rPr>
          <w:sz w:val="20"/>
          <w:szCs w:val="20"/>
        </w:rPr>
      </w:pPr>
      <w:r w:rsidRPr="00AC5402">
        <w:rPr>
          <w:sz w:val="20"/>
          <w:szCs w:val="20"/>
        </w:rPr>
        <w:t>Publications in English between 2010 and 2025.</w:t>
      </w:r>
    </w:p>
    <w:p w14:paraId="5AC0C6FD" w14:textId="77777777" w:rsidR="00AC5402" w:rsidRPr="00AC5402" w:rsidRDefault="00AC5402" w:rsidP="00AC5402">
      <w:pPr>
        <w:pStyle w:val="NormalWeb"/>
        <w:rPr>
          <w:sz w:val="20"/>
          <w:szCs w:val="20"/>
        </w:rPr>
      </w:pPr>
      <w:r w:rsidRPr="00AC5402">
        <w:rPr>
          <w:rStyle w:val="Strong"/>
          <w:sz w:val="20"/>
          <w:szCs w:val="20"/>
        </w:rPr>
        <w:t>Exclusion criteria:</w:t>
      </w:r>
    </w:p>
    <w:p w14:paraId="309EB5B9" w14:textId="77777777" w:rsidR="00AC5402" w:rsidRPr="00AC5402" w:rsidRDefault="00AC5402" w:rsidP="00AC5402">
      <w:pPr>
        <w:pStyle w:val="NormalWeb"/>
        <w:numPr>
          <w:ilvl w:val="0"/>
          <w:numId w:val="18"/>
        </w:numPr>
        <w:rPr>
          <w:sz w:val="20"/>
          <w:szCs w:val="20"/>
        </w:rPr>
      </w:pPr>
      <w:r w:rsidRPr="00AC5402">
        <w:rPr>
          <w:sz w:val="20"/>
          <w:szCs w:val="20"/>
        </w:rPr>
        <w:t>Studies outside healthcare settings.</w:t>
      </w:r>
    </w:p>
    <w:p w14:paraId="53AE3D91" w14:textId="77777777" w:rsidR="00AC5402" w:rsidRPr="00AC5402" w:rsidRDefault="00AC5402" w:rsidP="00AC5402">
      <w:pPr>
        <w:pStyle w:val="NormalWeb"/>
        <w:numPr>
          <w:ilvl w:val="0"/>
          <w:numId w:val="18"/>
        </w:numPr>
        <w:rPr>
          <w:sz w:val="20"/>
          <w:szCs w:val="20"/>
        </w:rPr>
      </w:pPr>
      <w:r w:rsidRPr="00AC5402">
        <w:rPr>
          <w:sz w:val="20"/>
          <w:szCs w:val="20"/>
        </w:rPr>
        <w:t>Articles without economic evaluation or cost data.</w:t>
      </w:r>
    </w:p>
    <w:p w14:paraId="5E7CC8D4" w14:textId="77777777" w:rsidR="00AC5402" w:rsidRPr="00AC5402" w:rsidRDefault="00AC5402" w:rsidP="00AC5402">
      <w:pPr>
        <w:pStyle w:val="NormalWeb"/>
        <w:numPr>
          <w:ilvl w:val="0"/>
          <w:numId w:val="18"/>
        </w:numPr>
        <w:rPr>
          <w:sz w:val="20"/>
          <w:szCs w:val="20"/>
        </w:rPr>
      </w:pPr>
      <w:r w:rsidRPr="00AC5402">
        <w:rPr>
          <w:sz w:val="20"/>
          <w:szCs w:val="20"/>
        </w:rPr>
        <w:t>Conference abstracts without full-text availability.</w:t>
      </w:r>
    </w:p>
    <w:p w14:paraId="74314F18" w14:textId="77777777" w:rsidR="00AC5402" w:rsidRPr="00AC5402" w:rsidRDefault="00AC5402" w:rsidP="00AC5402">
      <w:pPr>
        <w:pStyle w:val="Heading3"/>
        <w:bidi w:val="0"/>
        <w:jc w:val="left"/>
        <w:rPr>
          <w:sz w:val="20"/>
          <w:szCs w:val="20"/>
        </w:rPr>
      </w:pPr>
      <w:r w:rsidRPr="00AC5402">
        <w:rPr>
          <w:rStyle w:val="Strong"/>
          <w:b/>
          <w:bCs/>
          <w:sz w:val="20"/>
          <w:szCs w:val="20"/>
        </w:rPr>
        <w:t>2.3 Data Extraction and Synthesis</w:t>
      </w:r>
    </w:p>
    <w:p w14:paraId="22B44302" w14:textId="77777777" w:rsidR="00AC5402" w:rsidRPr="00AC5402" w:rsidRDefault="00AC5402" w:rsidP="00AC5402">
      <w:pPr>
        <w:pStyle w:val="NormalWeb"/>
        <w:rPr>
          <w:sz w:val="20"/>
          <w:szCs w:val="20"/>
        </w:rPr>
      </w:pPr>
      <w:r w:rsidRPr="00AC5402">
        <w:rPr>
          <w:sz w:val="20"/>
          <w:szCs w:val="20"/>
        </w:rPr>
        <w:t>From each eligible study, the following data were extracted:</w:t>
      </w:r>
    </w:p>
    <w:p w14:paraId="787B5DCB" w14:textId="77777777" w:rsidR="00AC5402" w:rsidRPr="009C0043" w:rsidRDefault="00AC5402" w:rsidP="009C0043">
      <w:pPr>
        <w:pStyle w:val="NormalWeb"/>
        <w:numPr>
          <w:ilvl w:val="0"/>
          <w:numId w:val="19"/>
        </w:numPr>
        <w:rPr>
          <w:sz w:val="20"/>
          <w:szCs w:val="20"/>
        </w:rPr>
      </w:pPr>
      <w:r w:rsidRPr="009C0043">
        <w:rPr>
          <w:sz w:val="20"/>
          <w:szCs w:val="20"/>
        </w:rPr>
        <w:t>Type of OHS intervention (e.g., vaccination, ergonomics, PPE, training)</w:t>
      </w:r>
    </w:p>
    <w:p w14:paraId="2FCA2C2F" w14:textId="77777777" w:rsidR="00AC5402" w:rsidRPr="009C0043" w:rsidRDefault="00AC5402" w:rsidP="009C0043">
      <w:pPr>
        <w:pStyle w:val="NormalWeb"/>
        <w:numPr>
          <w:ilvl w:val="0"/>
          <w:numId w:val="19"/>
        </w:numPr>
        <w:rPr>
          <w:sz w:val="20"/>
          <w:szCs w:val="20"/>
        </w:rPr>
      </w:pPr>
      <w:r w:rsidRPr="009C0043">
        <w:rPr>
          <w:sz w:val="20"/>
          <w:szCs w:val="20"/>
        </w:rPr>
        <w:t>Study design and setting</w:t>
      </w:r>
    </w:p>
    <w:p w14:paraId="7A0DCF3A" w14:textId="77777777" w:rsidR="00AC5402" w:rsidRPr="009C0043" w:rsidRDefault="00AC5402" w:rsidP="009C0043">
      <w:pPr>
        <w:pStyle w:val="NormalWeb"/>
        <w:numPr>
          <w:ilvl w:val="0"/>
          <w:numId w:val="19"/>
        </w:numPr>
        <w:rPr>
          <w:sz w:val="20"/>
          <w:szCs w:val="20"/>
        </w:rPr>
      </w:pPr>
      <w:r w:rsidRPr="009C0043">
        <w:rPr>
          <w:sz w:val="20"/>
          <w:szCs w:val="20"/>
        </w:rPr>
        <w:t>Type of economic evaluation (CBA, CEA)</w:t>
      </w:r>
    </w:p>
    <w:p w14:paraId="7ED3E132" w14:textId="77777777" w:rsidR="00AC5402" w:rsidRPr="009C0043" w:rsidRDefault="00AC5402" w:rsidP="009C0043">
      <w:pPr>
        <w:pStyle w:val="NormalWeb"/>
        <w:numPr>
          <w:ilvl w:val="0"/>
          <w:numId w:val="19"/>
        </w:numPr>
        <w:rPr>
          <w:sz w:val="20"/>
          <w:szCs w:val="20"/>
        </w:rPr>
      </w:pPr>
      <w:r w:rsidRPr="009C0043">
        <w:rPr>
          <w:sz w:val="20"/>
          <w:szCs w:val="20"/>
        </w:rPr>
        <w:t>Costs and savings reported</w:t>
      </w:r>
    </w:p>
    <w:p w14:paraId="2173488E" w14:textId="77777777" w:rsidR="00AC5402" w:rsidRPr="009C0043" w:rsidRDefault="00AC5402" w:rsidP="009C0043">
      <w:pPr>
        <w:pStyle w:val="NormalWeb"/>
        <w:numPr>
          <w:ilvl w:val="0"/>
          <w:numId w:val="19"/>
        </w:numPr>
        <w:rPr>
          <w:sz w:val="20"/>
          <w:szCs w:val="20"/>
        </w:rPr>
      </w:pPr>
      <w:r w:rsidRPr="009C0043">
        <w:rPr>
          <w:sz w:val="20"/>
          <w:szCs w:val="20"/>
        </w:rPr>
        <w:t>Impact on workforce health, absenteeism, and productivity</w:t>
      </w:r>
    </w:p>
    <w:p w14:paraId="5EB34022" w14:textId="77777777" w:rsidR="00AC5402" w:rsidRPr="009C0043" w:rsidRDefault="00AC5402" w:rsidP="009C0043">
      <w:pPr>
        <w:pStyle w:val="NormalWeb"/>
        <w:rPr>
          <w:sz w:val="20"/>
          <w:szCs w:val="20"/>
        </w:rPr>
      </w:pPr>
      <w:r w:rsidRPr="009C0043">
        <w:rPr>
          <w:sz w:val="20"/>
          <w:szCs w:val="20"/>
        </w:rPr>
        <w:t>Data were synthesized narratively due to heterogeneity in study design, interventions, and economic evaluation methods. Key findings were categorized according to the type of intervention and the nature of economic outcomes.</w:t>
      </w:r>
    </w:p>
    <w:p w14:paraId="09A00563" w14:textId="77777777" w:rsidR="009C0043" w:rsidRPr="009C0043" w:rsidRDefault="009C0043" w:rsidP="009C0043">
      <w:pPr>
        <w:pStyle w:val="Heading2"/>
        <w:bidi w:val="0"/>
        <w:jc w:val="left"/>
        <w:rPr>
          <w:rFonts w:cs="Times New Roman"/>
          <w:noProof w:val="0"/>
          <w:sz w:val="20"/>
          <w:szCs w:val="20"/>
        </w:rPr>
      </w:pPr>
      <w:r w:rsidRPr="009C0043">
        <w:rPr>
          <w:rStyle w:val="Strong"/>
          <w:b/>
          <w:bCs/>
          <w:sz w:val="20"/>
          <w:szCs w:val="20"/>
        </w:rPr>
        <w:t>3. Findings</w:t>
      </w:r>
    </w:p>
    <w:p w14:paraId="5AFB5D5D" w14:textId="77777777" w:rsidR="009C0043" w:rsidRPr="009C0043" w:rsidRDefault="009C0043" w:rsidP="009C0043">
      <w:pPr>
        <w:pStyle w:val="Heading3"/>
        <w:bidi w:val="0"/>
        <w:jc w:val="left"/>
        <w:rPr>
          <w:sz w:val="20"/>
          <w:szCs w:val="20"/>
        </w:rPr>
      </w:pPr>
      <w:r w:rsidRPr="009C0043">
        <w:rPr>
          <w:rStyle w:val="Strong"/>
          <w:b/>
          <w:bCs/>
          <w:sz w:val="20"/>
          <w:szCs w:val="20"/>
        </w:rPr>
        <w:t>3.1 Cost-benefit Analysis (CBA) in Healthcare OHS</w:t>
      </w:r>
    </w:p>
    <w:p w14:paraId="78398DAD" w14:textId="77777777" w:rsidR="009C0043" w:rsidRPr="009C0043" w:rsidRDefault="009C0043" w:rsidP="009C0043">
      <w:pPr>
        <w:pStyle w:val="NormalWeb"/>
        <w:rPr>
          <w:sz w:val="20"/>
          <w:szCs w:val="20"/>
        </w:rPr>
      </w:pPr>
      <w:r w:rsidRPr="009C0043">
        <w:rPr>
          <w:sz w:val="20"/>
          <w:szCs w:val="20"/>
        </w:rPr>
        <w:t>Cost-benefit analysis (CBA) quantifies the monetary benefits of OHS interventions relative to their costs. Preventive programs, such as needlestick injury prevention, influenza vaccination campaigns, and provision of personal protective equipment (PPE), have demonstrated net economic gains by reducing occupational injuries, illness-related absenteeism, and medical treatment costs (Hassani, Hashemi, &amp; Farrokhi, 2021). For example, influenza vaccination for healthcare workers not only prevents infection but also reduces absenteeism and secondary transmission, leading to measurable financial savings.</w:t>
      </w:r>
    </w:p>
    <w:p w14:paraId="52FD1E55" w14:textId="77777777" w:rsidR="009C0043" w:rsidRPr="009C0043" w:rsidRDefault="009C0043" w:rsidP="009C0043">
      <w:pPr>
        <w:pStyle w:val="Heading3"/>
        <w:bidi w:val="0"/>
        <w:jc w:val="left"/>
        <w:rPr>
          <w:sz w:val="20"/>
          <w:szCs w:val="20"/>
        </w:rPr>
      </w:pPr>
      <w:r w:rsidRPr="009C0043">
        <w:rPr>
          <w:rStyle w:val="Strong"/>
          <w:b/>
          <w:bCs/>
          <w:sz w:val="20"/>
          <w:szCs w:val="20"/>
        </w:rPr>
        <w:t>3.2 Cost-effectiveness Analysis (CEA)</w:t>
      </w:r>
    </w:p>
    <w:p w14:paraId="53817FB7" w14:textId="77777777" w:rsidR="009C0043" w:rsidRPr="009C0043" w:rsidRDefault="009C0043" w:rsidP="009C0043">
      <w:pPr>
        <w:pStyle w:val="NormalWeb"/>
        <w:rPr>
          <w:sz w:val="20"/>
          <w:szCs w:val="20"/>
        </w:rPr>
      </w:pPr>
      <w:r w:rsidRPr="009C0043">
        <w:rPr>
          <w:sz w:val="20"/>
          <w:szCs w:val="20"/>
        </w:rPr>
        <w:t>Cost-effectiveness analysis (CEA) compares the relative costs of interventions to their health outcomes, such as avoided injuries or quality-adjusted life years (QALYs). Ergonomics interventions designed to prevent musculoskeletal disorders among nurses have been consistently shown to be cost-effective by reducing lost workdays and compensation claims (Kim, Lee, &amp; Park, 2019). Similarly, training programs for safe patient handling can lower incidence of back injuries while providing economic benefits by reducing costs related to staff replacement and overtime.</w:t>
      </w:r>
    </w:p>
    <w:p w14:paraId="2A0D6B58" w14:textId="77777777" w:rsidR="009C0043" w:rsidRPr="009C0043" w:rsidRDefault="009C0043" w:rsidP="009C0043">
      <w:pPr>
        <w:pStyle w:val="Heading3"/>
        <w:bidi w:val="0"/>
        <w:jc w:val="left"/>
        <w:rPr>
          <w:sz w:val="20"/>
          <w:szCs w:val="20"/>
        </w:rPr>
      </w:pPr>
      <w:r w:rsidRPr="009C0043">
        <w:rPr>
          <w:rStyle w:val="Strong"/>
          <w:b/>
          <w:bCs/>
          <w:sz w:val="20"/>
          <w:szCs w:val="20"/>
        </w:rPr>
        <w:t>3.3 Productivity and Indirect Costs</w:t>
      </w:r>
    </w:p>
    <w:p w14:paraId="5FDBDCF8" w14:textId="77777777" w:rsidR="009C0043" w:rsidRPr="009C0043" w:rsidRDefault="009C0043" w:rsidP="009C0043">
      <w:pPr>
        <w:pStyle w:val="NormalWeb"/>
        <w:rPr>
          <w:sz w:val="20"/>
          <w:szCs w:val="20"/>
        </w:rPr>
      </w:pPr>
      <w:r w:rsidRPr="009C0043">
        <w:rPr>
          <w:sz w:val="20"/>
          <w:szCs w:val="20"/>
        </w:rPr>
        <w:t>Indirect costs, including absenteeism, presenteeism, staff turnover, and reduced productivity, often exceed direct medical expenses. Effective OHS programs reduce these costs significantly. For instance, hospitals implementing safe patient handling protocols reported fewer musculoskeletal injuries among nursing staff, leading to improved productivity and lower replacement and overtime expenditures (Shan, Wang, &amp; Zhang, 2020).</w:t>
      </w:r>
    </w:p>
    <w:p w14:paraId="10B8F34F" w14:textId="77777777" w:rsidR="009C0043" w:rsidRPr="009C0043" w:rsidRDefault="009C0043" w:rsidP="009C0043">
      <w:pPr>
        <w:pStyle w:val="Heading3"/>
        <w:bidi w:val="0"/>
        <w:jc w:val="left"/>
        <w:rPr>
          <w:sz w:val="20"/>
          <w:szCs w:val="20"/>
        </w:rPr>
      </w:pPr>
      <w:r w:rsidRPr="009C0043">
        <w:rPr>
          <w:rStyle w:val="Strong"/>
          <w:b/>
          <w:bCs/>
          <w:sz w:val="20"/>
          <w:szCs w:val="20"/>
        </w:rPr>
        <w:t>3.4 Long-term Benefits of Preventive Strategies</w:t>
      </w:r>
    </w:p>
    <w:p w14:paraId="225ACFAE" w14:textId="77777777" w:rsidR="009C0043" w:rsidRPr="009C0043" w:rsidRDefault="009C0043" w:rsidP="009C0043">
      <w:pPr>
        <w:pStyle w:val="NormalWeb"/>
        <w:rPr>
          <w:sz w:val="20"/>
          <w:szCs w:val="20"/>
        </w:rPr>
      </w:pPr>
      <w:r w:rsidRPr="009C0043">
        <w:rPr>
          <w:sz w:val="20"/>
          <w:szCs w:val="20"/>
        </w:rPr>
        <w:t>Although preventive interventions require upfront investment, their long-term benefits are substantial. Hospitals that adopt comprehensive OHS programs demonstrate lower occupational injury rates, improved staff satisfaction, and reduced insurance premiums (Goetzel et al., 2018). Preventive measures not only save money but also contribute to the development of a positive safety culture, enhancing morale and staff retention.</w:t>
      </w:r>
    </w:p>
    <w:p w14:paraId="3F60B522" w14:textId="77777777" w:rsidR="007F54EE" w:rsidRPr="007F54EE" w:rsidRDefault="007F54EE" w:rsidP="007F54EE">
      <w:pPr>
        <w:pStyle w:val="Heading2"/>
        <w:bidi w:val="0"/>
        <w:jc w:val="left"/>
        <w:rPr>
          <w:rFonts w:cs="Times New Roman"/>
          <w:noProof w:val="0"/>
          <w:sz w:val="20"/>
          <w:szCs w:val="20"/>
        </w:rPr>
      </w:pPr>
      <w:r w:rsidRPr="007F54EE">
        <w:rPr>
          <w:rStyle w:val="Strong"/>
          <w:b/>
          <w:bCs/>
          <w:sz w:val="20"/>
          <w:szCs w:val="20"/>
        </w:rPr>
        <w:lastRenderedPageBreak/>
        <w:t>4. Discussion</w:t>
      </w:r>
    </w:p>
    <w:p w14:paraId="2DE2523F" w14:textId="77777777" w:rsidR="00D03170" w:rsidRDefault="007F54EE" w:rsidP="00D03170">
      <w:pPr>
        <w:pStyle w:val="NormalWeb"/>
        <w:rPr>
          <w:sz w:val="20"/>
          <w:szCs w:val="20"/>
        </w:rPr>
      </w:pPr>
      <w:r w:rsidRPr="007F54EE">
        <w:rPr>
          <w:sz w:val="20"/>
          <w:szCs w:val="20"/>
        </w:rPr>
        <w:t>The findings of this review highlight the substantial economic and health benefits of occupational health and safety (OHS) interventions in healthcare settings. Preventive measures, including vaccination, ergonomics programs, personal protective equipment (PPE), and safety training, consistently demonstrate cost savings by reducing workplace injuries, illness-related absenteeism, and associated medical and compensation expenses.</w:t>
      </w:r>
    </w:p>
    <w:p w14:paraId="4C314633" w14:textId="1891D698" w:rsidR="007F54EE" w:rsidRPr="007F54EE" w:rsidRDefault="007F54EE" w:rsidP="00D03170">
      <w:pPr>
        <w:pStyle w:val="NormalWeb"/>
        <w:rPr>
          <w:sz w:val="20"/>
          <w:szCs w:val="20"/>
        </w:rPr>
      </w:pPr>
      <w:r w:rsidRPr="007F54EE">
        <w:rPr>
          <w:sz w:val="20"/>
          <w:szCs w:val="20"/>
        </w:rPr>
        <w:t>Economic evaluation tools such as cost-benefit analysis (CBA) and cost-effectiveness analysis (CEA) provide valuable insights for hospital administrators, enabling evidence-based decisions about resource allocation. By quantifying both direct and indirect costs, these evaluations allow hospitals to prioritize interventions that maximize workforce safety while minimizing financial burdens (Hassani, Hashemi, &amp; Farrokhi, 2021; Kim, Lee, &amp; Park, 2019).</w:t>
      </w:r>
    </w:p>
    <w:p w14:paraId="195EEDDE" w14:textId="77777777" w:rsidR="007F54EE" w:rsidRPr="007F54EE" w:rsidRDefault="007F54EE" w:rsidP="007F54EE">
      <w:pPr>
        <w:pStyle w:val="NormalWeb"/>
        <w:rPr>
          <w:sz w:val="20"/>
          <w:szCs w:val="20"/>
        </w:rPr>
      </w:pPr>
      <w:r w:rsidRPr="007F54EE">
        <w:rPr>
          <w:sz w:val="20"/>
          <w:szCs w:val="20"/>
        </w:rPr>
        <w:t>Despite these benefits, several challenges exist in implementing economic evaluations in OHS management. First, the availability of reliable cost data is often limited, particularly for indirect costs such as lost productivity, presenteeism, and turnover. Second, variability in healthcare systems and organizational structures makes generalization of results difficult. Third, intangible benefits, such as improved staff morale and strengthened safety culture, are hard to quantify but play a critical role in long-term sustainability (Shan, Wang, &amp; Zhang, 2020).</w:t>
      </w:r>
    </w:p>
    <w:p w14:paraId="4A1EF62F" w14:textId="106946B6" w:rsidR="000B200C" w:rsidRPr="00D03170" w:rsidRDefault="007F54EE" w:rsidP="00D03170">
      <w:pPr>
        <w:pStyle w:val="NormalWeb"/>
        <w:rPr>
          <w:sz w:val="20"/>
          <w:szCs w:val="20"/>
        </w:rPr>
      </w:pPr>
      <w:r w:rsidRPr="007F54EE">
        <w:rPr>
          <w:sz w:val="20"/>
          <w:szCs w:val="20"/>
        </w:rPr>
        <w:t>Integrating economic evaluation into OHS planning not only supports financial efficiency but also promotes a safer and healthier work environment. Hospitals that adopt evidence-based, economically justified preventive strategies can reduce occupational injuries, enhance staff satisfaction, and improve overall institutional performance. Furthermore, standardizing metrics and methodologies for economic assessment across healthcare systems would enhance comparability and guide policy development at both national and institutional levels (Goetzel et al., 2018).</w:t>
      </w:r>
    </w:p>
    <w:p w14:paraId="60781155" w14:textId="77777777" w:rsidR="00D03170" w:rsidRDefault="000B200C" w:rsidP="00D03170">
      <w:pPr>
        <w:spacing w:line="230" w:lineRule="auto"/>
        <w:jc w:val="both"/>
        <w:rPr>
          <w:b/>
          <w:bCs/>
        </w:rPr>
      </w:pPr>
      <w:r>
        <w:rPr>
          <w:b/>
          <w:bCs/>
        </w:rPr>
        <w:t>Conclusions</w:t>
      </w:r>
    </w:p>
    <w:p w14:paraId="1D34A4B2" w14:textId="77777777" w:rsidR="00D03170" w:rsidRDefault="00D03170" w:rsidP="00D03170">
      <w:pPr>
        <w:spacing w:line="230" w:lineRule="auto"/>
        <w:jc w:val="both"/>
      </w:pPr>
      <w:r w:rsidRPr="00D03170">
        <w:t>Economic evaluation is a vital component of occupational health and safety (OHS) management in healthcare. Preventive interventions—such as vaccination programs, ergonomics training, personal protective equipment, and safety education—provide significant financial and health benefits by reducing workplace injuries, absenteeism, and associated costs.</w:t>
      </w:r>
    </w:p>
    <w:p w14:paraId="0B82CE97" w14:textId="4DE9CB9A" w:rsidR="00D03170" w:rsidRPr="00D03170" w:rsidRDefault="00D03170" w:rsidP="00D03170">
      <w:pPr>
        <w:spacing w:line="230" w:lineRule="auto"/>
        <w:jc w:val="both"/>
        <w:rPr>
          <w:b/>
          <w:bCs/>
        </w:rPr>
      </w:pPr>
      <w:r w:rsidRPr="00D03170">
        <w:t>Hospitals that integrate economic assessment into OHS planning can prioritize high-impact interventions, optimize resource allocation, and enhance both employee well-being and organizational efficiency. Despite challenges in measuring indirect and intangible benefits, evidence consistently supports the long-term value of investing in preventive strategies. Future research should focus on standardizing economic evaluation methodologies and monitoring long-term outcomes to strengthen evidence-based decision-making in healthcare OHS.</w:t>
      </w:r>
    </w:p>
    <w:p w14:paraId="26D95F08" w14:textId="5F16F0B1" w:rsidR="000B200C" w:rsidRDefault="000B200C" w:rsidP="000B200C">
      <w:pPr>
        <w:spacing w:line="230" w:lineRule="auto"/>
        <w:jc w:val="both"/>
      </w:pPr>
    </w:p>
    <w:p w14:paraId="7C1F85A0" w14:textId="77777777" w:rsidR="000B200C" w:rsidRDefault="000B200C" w:rsidP="000B200C">
      <w:pPr>
        <w:spacing w:line="230" w:lineRule="auto"/>
        <w:jc w:val="both"/>
      </w:pPr>
      <w:r>
        <w:rPr>
          <w:b/>
          <w:bCs/>
        </w:rPr>
        <w:t>References</w:t>
      </w:r>
      <w:r>
        <w:t xml:space="preserve"> </w:t>
      </w:r>
    </w:p>
    <w:p w14:paraId="7C5B1466" w14:textId="761F9E7E" w:rsidR="000B200C" w:rsidRDefault="000B200C" w:rsidP="000B200C">
      <w:pPr>
        <w:spacing w:line="230" w:lineRule="auto"/>
        <w:jc w:val="both"/>
      </w:pPr>
    </w:p>
    <w:tbl>
      <w:tblPr>
        <w:tblStyle w:val="TableGridLight"/>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3"/>
        <w:gridCol w:w="9180"/>
      </w:tblGrid>
      <w:tr w:rsidR="000B200C" w14:paraId="68F07399" w14:textId="77777777" w:rsidTr="000925B3">
        <w:trPr>
          <w:trHeight w:val="828"/>
        </w:trPr>
        <w:tc>
          <w:tcPr>
            <w:tcW w:w="473" w:type="dxa"/>
          </w:tcPr>
          <w:p w14:paraId="4D2A9832" w14:textId="77777777" w:rsidR="000B200C" w:rsidRDefault="00992AEA" w:rsidP="00FB4B1C">
            <w:pPr>
              <w:jc w:val="both"/>
              <w:rPr>
                <w:lang w:bidi="fa-IR"/>
              </w:rPr>
            </w:pPr>
            <w:r>
              <w:t xml:space="preserve"> </w:t>
            </w:r>
            <w:r w:rsidR="000B200C">
              <w:t>[1]</w:t>
            </w:r>
          </w:p>
        </w:tc>
        <w:tc>
          <w:tcPr>
            <w:tcW w:w="9180" w:type="dxa"/>
          </w:tcPr>
          <w:p w14:paraId="761D9BD7" w14:textId="1CA7F679" w:rsidR="000B200C" w:rsidRPr="00D03170" w:rsidRDefault="00D03170" w:rsidP="00992AEA">
            <w:pPr>
              <w:jc w:val="both"/>
            </w:pPr>
            <w:r w:rsidRPr="00D03170">
              <w:t>Goetzel, R. Z., Pei, X., Tabrizi, M. J., Henke, R. M., Kowlessar, N., &amp; Metz, R. D. (2018). The business case for quality and safety in healthcare: Evidence and economic implications. Journal of Occupational and Environmental Medicine, 60(3), 245–252. https://doi.org/10.1097/JOM.0000000000001263</w:t>
            </w:r>
          </w:p>
        </w:tc>
      </w:tr>
      <w:tr w:rsidR="000B200C" w14:paraId="234C32F8" w14:textId="77777777" w:rsidTr="000925B3">
        <w:trPr>
          <w:trHeight w:val="828"/>
        </w:trPr>
        <w:tc>
          <w:tcPr>
            <w:tcW w:w="473" w:type="dxa"/>
          </w:tcPr>
          <w:p w14:paraId="6B8FB562" w14:textId="77777777" w:rsidR="000B200C" w:rsidRDefault="000B200C" w:rsidP="00FB4B1C">
            <w:pPr>
              <w:jc w:val="both"/>
              <w:rPr>
                <w:lang w:bidi="fa-IR"/>
              </w:rPr>
            </w:pPr>
            <w:r>
              <w:t>[2]</w:t>
            </w:r>
          </w:p>
        </w:tc>
        <w:tc>
          <w:tcPr>
            <w:tcW w:w="9180" w:type="dxa"/>
          </w:tcPr>
          <w:p w14:paraId="032E53A9" w14:textId="7BA7D78B" w:rsidR="000B200C" w:rsidRPr="00D03170" w:rsidRDefault="00D03170" w:rsidP="00FB4B1C">
            <w:pPr>
              <w:jc w:val="both"/>
              <w:rPr>
                <w:lang w:bidi="fa-IR"/>
              </w:rPr>
            </w:pPr>
            <w:r w:rsidRPr="00D03170">
              <w:t>Hassani, H., Hashemi, S., &amp; Farrokhi, M. (2021). Cost-benefit analysis of occupational health interventions in healthcare settings: A systematic review. Safety Science, 138, 105241. https://doi.org/10.1016/j.ssci.2021.105241</w:t>
            </w:r>
          </w:p>
        </w:tc>
      </w:tr>
      <w:tr w:rsidR="000B200C" w14:paraId="31051F0B" w14:textId="77777777" w:rsidTr="000925B3">
        <w:trPr>
          <w:trHeight w:val="558"/>
        </w:trPr>
        <w:tc>
          <w:tcPr>
            <w:tcW w:w="473" w:type="dxa"/>
          </w:tcPr>
          <w:p w14:paraId="3D4C0CE4" w14:textId="77777777" w:rsidR="000B200C" w:rsidRDefault="000B200C" w:rsidP="00FB4B1C">
            <w:pPr>
              <w:jc w:val="both"/>
            </w:pPr>
            <w:r>
              <w:t>[3]</w:t>
            </w:r>
          </w:p>
        </w:tc>
        <w:tc>
          <w:tcPr>
            <w:tcW w:w="9180" w:type="dxa"/>
          </w:tcPr>
          <w:p w14:paraId="29976B89" w14:textId="1B2B5505" w:rsidR="000B200C" w:rsidRPr="00D03170" w:rsidRDefault="00D03170" w:rsidP="00992AEA">
            <w:pPr>
              <w:autoSpaceDE w:val="0"/>
              <w:autoSpaceDN w:val="0"/>
              <w:adjustRightInd w:val="0"/>
            </w:pPr>
            <w:r w:rsidRPr="00D03170">
              <w:t xml:space="preserve">Kim, S., Lee, H., &amp; Park, J. (2019). Cost-effectiveness of ergonomics intervention programs in hospitals: A meta-analysis. Journal of Safety Research, 70, 1–10. </w:t>
            </w:r>
            <w:hyperlink r:id="rId8" w:history="1">
              <w:r w:rsidRPr="00D03170">
                <w:rPr>
                  <w:rStyle w:val="Hyperlink"/>
                </w:rPr>
                <w:t>https://doi.org/10.1016/j.jsr.2019.01.004</w:t>
              </w:r>
            </w:hyperlink>
          </w:p>
        </w:tc>
      </w:tr>
      <w:tr w:rsidR="00D03170" w14:paraId="7AAD204E" w14:textId="77777777" w:rsidTr="000925B3">
        <w:trPr>
          <w:trHeight w:val="540"/>
        </w:trPr>
        <w:tc>
          <w:tcPr>
            <w:tcW w:w="473" w:type="dxa"/>
          </w:tcPr>
          <w:p w14:paraId="0C386094" w14:textId="70F980A8" w:rsidR="00D03170" w:rsidRDefault="00D03170" w:rsidP="00D03170">
            <w:pPr>
              <w:jc w:val="both"/>
            </w:pPr>
            <w:r>
              <w:t>[4]</w:t>
            </w:r>
          </w:p>
        </w:tc>
        <w:tc>
          <w:tcPr>
            <w:tcW w:w="9180" w:type="dxa"/>
          </w:tcPr>
          <w:p w14:paraId="69DDBD1E" w14:textId="75EAB189" w:rsidR="00D03170" w:rsidRPr="00D03170" w:rsidRDefault="000925B3" w:rsidP="00D03170">
            <w:pPr>
              <w:autoSpaceDE w:val="0"/>
              <w:autoSpaceDN w:val="0"/>
              <w:adjustRightInd w:val="0"/>
            </w:pPr>
            <w:r w:rsidRPr="000925B3">
              <w:t>Prüss-Üstün, A., Probst, C., &amp; Corvalán, C. (2016). Preventing disease through healthy work environments: Global perspective. World Health Organization. https://www.who.int/publications/i/item/9789241565196</w:t>
            </w:r>
          </w:p>
        </w:tc>
      </w:tr>
      <w:tr w:rsidR="00D03170" w14:paraId="39F88111" w14:textId="77777777" w:rsidTr="000925B3">
        <w:trPr>
          <w:trHeight w:val="558"/>
        </w:trPr>
        <w:tc>
          <w:tcPr>
            <w:tcW w:w="473" w:type="dxa"/>
          </w:tcPr>
          <w:p w14:paraId="0E5CE1FD" w14:textId="27B0ECDC" w:rsidR="00D03170" w:rsidRDefault="00D03170" w:rsidP="00D03170">
            <w:pPr>
              <w:jc w:val="both"/>
            </w:pPr>
            <w:r>
              <w:t>[5]</w:t>
            </w:r>
          </w:p>
        </w:tc>
        <w:tc>
          <w:tcPr>
            <w:tcW w:w="9180" w:type="dxa"/>
          </w:tcPr>
          <w:p w14:paraId="1C5668A0" w14:textId="0AF23274" w:rsidR="00D03170" w:rsidRPr="00D03170" w:rsidRDefault="000925B3" w:rsidP="00D03170">
            <w:pPr>
              <w:autoSpaceDE w:val="0"/>
              <w:autoSpaceDN w:val="0"/>
              <w:adjustRightInd w:val="0"/>
            </w:pPr>
            <w:r w:rsidRPr="000925B3">
              <w:t>Shan, L., Wang, H., &amp; Zhang, Y. (2020). Effectiveness and cost-savings of safe patient handling programs: A systematic review. Applied Ergonomics, 85, 103073. https://doi.org/10.1016/j.apergo.2020.103073</w:t>
            </w:r>
          </w:p>
        </w:tc>
      </w:tr>
      <w:tr w:rsidR="00D03170" w14:paraId="73DFD999" w14:textId="77777777" w:rsidTr="000925B3">
        <w:trPr>
          <w:trHeight w:val="828"/>
        </w:trPr>
        <w:tc>
          <w:tcPr>
            <w:tcW w:w="473" w:type="dxa"/>
          </w:tcPr>
          <w:p w14:paraId="1D3DEB5F" w14:textId="63A7D11C" w:rsidR="00D03170" w:rsidRDefault="00D03170" w:rsidP="00D03170">
            <w:pPr>
              <w:jc w:val="both"/>
            </w:pPr>
            <w:r>
              <w:t>[6]</w:t>
            </w:r>
          </w:p>
        </w:tc>
        <w:tc>
          <w:tcPr>
            <w:tcW w:w="9180" w:type="dxa"/>
          </w:tcPr>
          <w:p w14:paraId="6B7B4A57" w14:textId="3C24F8F4" w:rsidR="00D03170" w:rsidRPr="00D03170" w:rsidRDefault="000925B3" w:rsidP="00D03170">
            <w:pPr>
              <w:autoSpaceDE w:val="0"/>
              <w:autoSpaceDN w:val="0"/>
              <w:adjustRightInd w:val="0"/>
            </w:pPr>
            <w:r w:rsidRPr="000925B3">
              <w:t>Menzel, N., Döring, A., &amp; Schulte, P. (2020). Economic impact of occupational health and safety programs in hospitals. International Journal of Environmental Research and Public Health, 17(14), 5021. https://doi.org/10.3390/ijerph17145021</w:t>
            </w:r>
          </w:p>
        </w:tc>
      </w:tr>
    </w:tbl>
    <w:p w14:paraId="2C84AC49" w14:textId="77777777" w:rsidR="000B200C" w:rsidRDefault="000B200C" w:rsidP="00992AEA">
      <w:pPr>
        <w:spacing w:line="230" w:lineRule="auto"/>
        <w:jc w:val="both"/>
        <w:sectPr w:rsidR="000B200C" w:rsidSect="00082716">
          <w:headerReference w:type="default" r:id="rId9"/>
          <w:footerReference w:type="even" r:id="rId10"/>
          <w:footerReference w:type="default" r:id="rId11"/>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E0CD4" w14:textId="77777777" w:rsidR="002335D6" w:rsidRDefault="002335D6">
      <w:r>
        <w:separator/>
      </w:r>
    </w:p>
  </w:endnote>
  <w:endnote w:type="continuationSeparator" w:id="0">
    <w:p w14:paraId="0958498E" w14:textId="77777777" w:rsidR="002335D6" w:rsidRDefault="0023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92116" w14:textId="306291D3"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D5705D">
      <w:rPr>
        <w:caps/>
      </w:rPr>
      <w:t>4</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A39E1" w14:textId="77777777" w:rsidR="002335D6" w:rsidRDefault="002335D6" w:rsidP="0010114F">
      <w:pPr>
        <w:bidi/>
      </w:pPr>
      <w:r>
        <w:separator/>
      </w:r>
    </w:p>
  </w:footnote>
  <w:footnote w:type="continuationSeparator" w:id="0">
    <w:p w14:paraId="19FF7398" w14:textId="77777777" w:rsidR="002335D6" w:rsidRDefault="00233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B0E6D" w14:textId="07F36AE0" w:rsidR="00931BA1" w:rsidRDefault="008A6A64" w:rsidP="00AA30C4">
    <w:pPr>
      <w:pStyle w:val="Header"/>
    </w:pPr>
    <w:r w:rsidRPr="008A6A64">
      <w:rPr>
        <w:noProof/>
        <w:rtl/>
        <w:lang w:bidi="fa-IR"/>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9C7F42"/>
    <w:multiLevelType w:val="multilevel"/>
    <w:tmpl w:val="B7CE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6F6F7E"/>
    <w:multiLevelType w:val="multilevel"/>
    <w:tmpl w:val="ED2A0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4E92A39"/>
    <w:multiLevelType w:val="multilevel"/>
    <w:tmpl w:val="1BCA6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DDD078D"/>
    <w:multiLevelType w:val="multilevel"/>
    <w:tmpl w:val="B444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4"/>
  </w:num>
  <w:num w:numId="3">
    <w:abstractNumId w:val="18"/>
  </w:num>
  <w:num w:numId="4">
    <w:abstractNumId w:val="0"/>
  </w:num>
  <w:num w:numId="5">
    <w:abstractNumId w:val="6"/>
  </w:num>
  <w:num w:numId="6">
    <w:abstractNumId w:val="16"/>
  </w:num>
  <w:num w:numId="7">
    <w:abstractNumId w:val="1"/>
  </w:num>
  <w:num w:numId="8">
    <w:abstractNumId w:val="11"/>
  </w:num>
  <w:num w:numId="9">
    <w:abstractNumId w:val="15"/>
  </w:num>
  <w:num w:numId="10">
    <w:abstractNumId w:val="2"/>
  </w:num>
  <w:num w:numId="11">
    <w:abstractNumId w:val="10"/>
  </w:num>
  <w:num w:numId="12">
    <w:abstractNumId w:val="3"/>
  </w:num>
  <w:num w:numId="13">
    <w:abstractNumId w:val="13"/>
  </w:num>
  <w:num w:numId="14">
    <w:abstractNumId w:val="17"/>
  </w:num>
  <w:num w:numId="15">
    <w:abstractNumId w:val="12"/>
  </w:num>
  <w:num w:numId="16">
    <w:abstractNumId w:val="14"/>
  </w:num>
  <w:num w:numId="17">
    <w:abstractNumId w:val="9"/>
  </w:num>
  <w:num w:numId="18">
    <w:abstractNumId w:val="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25B3"/>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C6A4A"/>
    <w:rsid w:val="001D0698"/>
    <w:rsid w:val="001D6CE4"/>
    <w:rsid w:val="001E3013"/>
    <w:rsid w:val="001E40EF"/>
    <w:rsid w:val="001E4699"/>
    <w:rsid w:val="001F1E2E"/>
    <w:rsid w:val="001F2563"/>
    <w:rsid w:val="001F4258"/>
    <w:rsid w:val="00201F44"/>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5D6"/>
    <w:rsid w:val="00233935"/>
    <w:rsid w:val="002344A6"/>
    <w:rsid w:val="002357B0"/>
    <w:rsid w:val="002379A1"/>
    <w:rsid w:val="002407FA"/>
    <w:rsid w:val="00247FBC"/>
    <w:rsid w:val="0025597F"/>
    <w:rsid w:val="0026354D"/>
    <w:rsid w:val="00265002"/>
    <w:rsid w:val="00267F25"/>
    <w:rsid w:val="00273820"/>
    <w:rsid w:val="00274687"/>
    <w:rsid w:val="00276008"/>
    <w:rsid w:val="0027720C"/>
    <w:rsid w:val="00285468"/>
    <w:rsid w:val="00290D64"/>
    <w:rsid w:val="00291525"/>
    <w:rsid w:val="00292AE6"/>
    <w:rsid w:val="0029474E"/>
    <w:rsid w:val="00296950"/>
    <w:rsid w:val="00297565"/>
    <w:rsid w:val="002A11CB"/>
    <w:rsid w:val="002A193A"/>
    <w:rsid w:val="002A2152"/>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594F"/>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B63"/>
    <w:rsid w:val="00570FEC"/>
    <w:rsid w:val="0057301A"/>
    <w:rsid w:val="005776E5"/>
    <w:rsid w:val="00583F0F"/>
    <w:rsid w:val="00585B4E"/>
    <w:rsid w:val="005900EF"/>
    <w:rsid w:val="00590891"/>
    <w:rsid w:val="00593F13"/>
    <w:rsid w:val="00594C88"/>
    <w:rsid w:val="00595CBD"/>
    <w:rsid w:val="0059697C"/>
    <w:rsid w:val="005B6E01"/>
    <w:rsid w:val="005B7C78"/>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508F"/>
    <w:rsid w:val="00766037"/>
    <w:rsid w:val="00770F6C"/>
    <w:rsid w:val="00777A52"/>
    <w:rsid w:val="00783DE3"/>
    <w:rsid w:val="0079234A"/>
    <w:rsid w:val="0079383F"/>
    <w:rsid w:val="007A7A27"/>
    <w:rsid w:val="007C1BFF"/>
    <w:rsid w:val="007C2032"/>
    <w:rsid w:val="007C2B72"/>
    <w:rsid w:val="007D2A63"/>
    <w:rsid w:val="007D62B6"/>
    <w:rsid w:val="007D68E1"/>
    <w:rsid w:val="007E1DFC"/>
    <w:rsid w:val="007E31F1"/>
    <w:rsid w:val="007E5C60"/>
    <w:rsid w:val="007E704E"/>
    <w:rsid w:val="007F47BC"/>
    <w:rsid w:val="007F54EE"/>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004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5402"/>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4E58"/>
    <w:rsid w:val="00BA5A0B"/>
    <w:rsid w:val="00BA7254"/>
    <w:rsid w:val="00BB48F9"/>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0BFF"/>
    <w:rsid w:val="00CE151D"/>
    <w:rsid w:val="00CE4842"/>
    <w:rsid w:val="00CE6FE5"/>
    <w:rsid w:val="00CF23AB"/>
    <w:rsid w:val="00CF23DD"/>
    <w:rsid w:val="00CF43C5"/>
    <w:rsid w:val="00D001B3"/>
    <w:rsid w:val="00D03170"/>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5705D"/>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 w:val="00FF7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AC5402"/>
    <w:pPr>
      <w:spacing w:before="100" w:beforeAutospacing="1" w:after="100" w:afterAutospacing="1"/>
    </w:pPr>
    <w:rPr>
      <w:rFonts w:cs="Times New Roman"/>
      <w:noProof w:val="0"/>
      <w:sz w:val="24"/>
      <w:szCs w:val="24"/>
      <w:lang w:bidi="fa-IR"/>
    </w:rPr>
  </w:style>
  <w:style w:type="paragraph" w:styleId="ListParagraph">
    <w:name w:val="List Paragraph"/>
    <w:basedOn w:val="Normal"/>
    <w:uiPriority w:val="34"/>
    <w:qFormat/>
    <w:rsid w:val="00AC5402"/>
    <w:pPr>
      <w:ind w:left="720"/>
      <w:contextualSpacing/>
    </w:pPr>
  </w:style>
  <w:style w:type="table" w:styleId="TableGridLight">
    <w:name w:val="Grid Table Light"/>
    <w:basedOn w:val="TableNormal"/>
    <w:uiPriority w:val="40"/>
    <w:rsid w:val="00D0317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4283">
      <w:bodyDiv w:val="1"/>
      <w:marLeft w:val="0"/>
      <w:marRight w:val="0"/>
      <w:marTop w:val="0"/>
      <w:marBottom w:val="0"/>
      <w:divBdr>
        <w:top w:val="none" w:sz="0" w:space="0" w:color="auto"/>
        <w:left w:val="none" w:sz="0" w:space="0" w:color="auto"/>
        <w:bottom w:val="none" w:sz="0" w:space="0" w:color="auto"/>
        <w:right w:val="none" w:sz="0" w:space="0" w:color="auto"/>
      </w:divBdr>
    </w:div>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8823885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166676453">
      <w:bodyDiv w:val="1"/>
      <w:marLeft w:val="0"/>
      <w:marRight w:val="0"/>
      <w:marTop w:val="0"/>
      <w:marBottom w:val="0"/>
      <w:divBdr>
        <w:top w:val="none" w:sz="0" w:space="0" w:color="auto"/>
        <w:left w:val="none" w:sz="0" w:space="0" w:color="auto"/>
        <w:bottom w:val="none" w:sz="0" w:space="0" w:color="auto"/>
        <w:right w:val="none" w:sz="0" w:space="0" w:color="auto"/>
      </w:divBdr>
    </w:div>
    <w:div w:id="220822777">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68594071">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598218263">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58871595">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31603321">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91252993">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174034108">
      <w:bodyDiv w:val="1"/>
      <w:marLeft w:val="0"/>
      <w:marRight w:val="0"/>
      <w:marTop w:val="0"/>
      <w:marBottom w:val="0"/>
      <w:divBdr>
        <w:top w:val="none" w:sz="0" w:space="0" w:color="auto"/>
        <w:left w:val="none" w:sz="0" w:space="0" w:color="auto"/>
        <w:bottom w:val="none" w:sz="0" w:space="0" w:color="auto"/>
        <w:right w:val="none" w:sz="0" w:space="0" w:color="auto"/>
      </w:divBdr>
    </w:div>
    <w:div w:id="11869462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11581515">
      <w:bodyDiv w:val="1"/>
      <w:marLeft w:val="0"/>
      <w:marRight w:val="0"/>
      <w:marTop w:val="0"/>
      <w:marBottom w:val="0"/>
      <w:divBdr>
        <w:top w:val="none" w:sz="0" w:space="0" w:color="auto"/>
        <w:left w:val="none" w:sz="0" w:space="0" w:color="auto"/>
        <w:bottom w:val="none" w:sz="0" w:space="0" w:color="auto"/>
        <w:right w:val="none" w:sz="0" w:space="0" w:color="auto"/>
      </w:divBdr>
    </w:div>
    <w:div w:id="1423530756">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40381615">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00004860">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0289623">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23446126">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1988393164">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jsr.2019.01.0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FB0B3-12BA-48E3-8821-A3B03116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1984</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Windows User</cp:lastModifiedBy>
  <cp:revision>8</cp:revision>
  <cp:lastPrinted>2007-05-16T03:26:00Z</cp:lastPrinted>
  <dcterms:created xsi:type="dcterms:W3CDTF">2025-11-16T05:04:00Z</dcterms:created>
  <dcterms:modified xsi:type="dcterms:W3CDTF">2025-11-28T15:30:00Z</dcterms:modified>
</cp:coreProperties>
</file>