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3373A0" w14:textId="77777777" w:rsidR="00931BA1" w:rsidRDefault="00931BA1" w:rsidP="00931BA1">
      <w:pPr>
        <w:pStyle w:val="Title"/>
        <w:rPr>
          <w:rFonts w:cs="Nazanin" w:hint="cs"/>
          <w:b w:val="0"/>
          <w:bCs w:val="0"/>
          <w:sz w:val="28"/>
          <w:lang w:bidi="fa-IR"/>
        </w:rPr>
      </w:pPr>
      <w:bookmarkStart w:id="0" w:name="OLE_LINK15"/>
      <w:bookmarkStart w:id="1" w:name="OLE_LINK10"/>
      <w:bookmarkStart w:id="2" w:name="OLE_LINK11"/>
      <w:bookmarkStart w:id="3" w:name="OLE_LINK14"/>
    </w:p>
    <w:bookmarkEnd w:id="0"/>
    <w:bookmarkEnd w:id="1"/>
    <w:bookmarkEnd w:id="2"/>
    <w:bookmarkEnd w:id="3"/>
    <w:p w14:paraId="7A9EB086" w14:textId="712AD41B" w:rsidR="00B4352A" w:rsidRDefault="007A11E0" w:rsidP="00B4352A">
      <w:pPr>
        <w:widowControl w:val="0"/>
        <w:rPr>
          <w:rFonts w:ascii="Garamond" w:hAnsi="Garamond"/>
          <w:color w:val="000000"/>
          <w:sz w:val="18"/>
          <w:szCs w:val="18"/>
        </w:rPr>
      </w:pPr>
      <w:r w:rsidRPr="007A11E0">
        <w:rPr>
          <w:rFonts w:cs="Nazanin"/>
          <w:sz w:val="28"/>
          <w:szCs w:val="36"/>
        </w:rPr>
        <w:t>The Role of Training and Culture Development in Crisis Management: A Review</w:t>
      </w:r>
      <w:r w:rsidR="00B4352A">
        <w:t> </w:t>
      </w:r>
    </w:p>
    <w:p w14:paraId="70F287E9" w14:textId="1491FB77" w:rsidR="00860961" w:rsidRDefault="00860961" w:rsidP="00860961">
      <w:pPr>
        <w:widowControl w:val="0"/>
        <w:rPr>
          <w:rFonts w:ascii="Garamond" w:hAnsi="Garamond"/>
          <w:color w:val="000000"/>
          <w:sz w:val="18"/>
          <w:szCs w:val="18"/>
        </w:rPr>
      </w:pPr>
    </w:p>
    <w:p w14:paraId="2354E3F1" w14:textId="1E67DFD6" w:rsidR="00860961" w:rsidRPr="00B71B90" w:rsidRDefault="00860961" w:rsidP="00977D07">
      <w:pPr>
        <w:spacing w:before="100" w:beforeAutospacing="1" w:after="100" w:afterAutospacing="1"/>
        <w:rPr>
          <w:rFonts w:cs="Times New Roman"/>
          <w:b/>
          <w:bCs/>
          <w:lang w:bidi="fa-IR"/>
        </w:rPr>
      </w:pPr>
      <w:r w:rsidRPr="00B71B90">
        <w:rPr>
          <w:rFonts w:cs="Times New Roman"/>
          <w:b/>
          <w:bCs/>
          <w:lang w:bidi="fa-IR"/>
        </w:rPr>
        <w:t>Seyed Reza Ahmadi Koupaei</w:t>
      </w:r>
      <w:r>
        <w:rPr>
          <w:rFonts w:cs="Times New Roman"/>
          <w:b/>
          <w:bCs/>
          <w:lang w:bidi="fa-IR"/>
        </w:rPr>
        <w:t>1</w:t>
      </w:r>
      <w:r w:rsidRPr="00B71B90">
        <w:rPr>
          <w:rFonts w:cs="Times New Roman"/>
          <w:b/>
          <w:bCs/>
          <w:lang w:bidi="fa-IR"/>
        </w:rPr>
        <w:t>, Ayoub Tavakolian</w:t>
      </w:r>
      <w:r>
        <w:rPr>
          <w:rFonts w:cs="Times New Roman"/>
          <w:b/>
          <w:bCs/>
          <w:lang w:bidi="fa-IR"/>
        </w:rPr>
        <w:t>1</w:t>
      </w:r>
      <w:r w:rsidRPr="00B71B90">
        <w:rPr>
          <w:rFonts w:cs="Times New Roman"/>
          <w:b/>
          <w:bCs/>
          <w:lang w:bidi="fa-IR"/>
        </w:rPr>
        <w:t xml:space="preserve">, </w:t>
      </w:r>
      <w:r w:rsidR="00977D07" w:rsidRPr="00A31E2D">
        <w:rPr>
          <w:rFonts w:cs="Times New Roman"/>
          <w:b/>
          <w:bCs/>
          <w:lang w:bidi="fa-IR"/>
        </w:rPr>
        <w:t>Mohammad Dashti</w:t>
      </w:r>
      <w:r w:rsidR="00977D07" w:rsidRPr="00B71B90">
        <w:rPr>
          <w:rFonts w:cs="Times New Roman"/>
          <w:b/>
          <w:bCs/>
          <w:lang w:bidi="fa-IR"/>
        </w:rPr>
        <w:t xml:space="preserve"> </w:t>
      </w:r>
      <w:r w:rsidR="00E556DA">
        <w:rPr>
          <w:rFonts w:cs="Times New Roman"/>
          <w:b/>
          <w:bCs/>
          <w:lang w:bidi="fa-IR"/>
        </w:rPr>
        <w:t>2</w:t>
      </w:r>
      <w:r w:rsidRPr="00B71B90">
        <w:rPr>
          <w:rFonts w:cs="Times New Roman"/>
          <w:b/>
          <w:bCs/>
          <w:lang w:bidi="fa-IR"/>
        </w:rPr>
        <w:t xml:space="preserve">, </w:t>
      </w:r>
      <w:r w:rsidR="00837394">
        <w:rPr>
          <w:rFonts w:cs="Times New Roman"/>
          <w:b/>
          <w:bCs/>
          <w:lang w:bidi="fa-IR"/>
        </w:rPr>
        <w:t>Fatemeh</w:t>
      </w:r>
      <w:r w:rsidRPr="00B71B90">
        <w:rPr>
          <w:rFonts w:cs="Times New Roman"/>
          <w:b/>
          <w:bCs/>
          <w:lang w:bidi="fa-IR"/>
        </w:rPr>
        <w:t xml:space="preserve"> Mahdizadeh</w:t>
      </w:r>
      <w:r w:rsidR="00E556DA">
        <w:rPr>
          <w:rFonts w:cs="Times New Roman"/>
          <w:b/>
          <w:bCs/>
          <w:lang w:bidi="fa-IR"/>
        </w:rPr>
        <w:t>3</w:t>
      </w:r>
      <w:r w:rsidRPr="00B71B90">
        <w:rPr>
          <w:rFonts w:cs="Times New Roman"/>
          <w:b/>
          <w:bCs/>
          <w:lang w:bidi="fa-IR"/>
        </w:rPr>
        <w:t>,</w:t>
      </w:r>
      <w:r w:rsidRPr="00A31E2D">
        <w:t xml:space="preserve"> </w:t>
      </w:r>
      <w:r w:rsidR="00977D07" w:rsidRPr="00E556DA">
        <w:rPr>
          <w:rFonts w:cs="Times New Roman"/>
          <w:b/>
          <w:bCs/>
          <w:lang w:bidi="fa-IR"/>
        </w:rPr>
        <w:t>Hassan Vahedi</w:t>
      </w:r>
      <w:r w:rsidR="00977D07">
        <w:rPr>
          <w:rFonts w:cs="Times New Roman"/>
          <w:b/>
          <w:bCs/>
          <w:lang w:bidi="fa-IR"/>
        </w:rPr>
        <w:t xml:space="preserve"> </w:t>
      </w:r>
      <w:r w:rsidR="00E556DA">
        <w:rPr>
          <w:rFonts w:cs="Times New Roman"/>
          <w:b/>
          <w:bCs/>
          <w:lang w:bidi="fa-IR"/>
        </w:rPr>
        <w:t>4</w:t>
      </w:r>
      <w:r w:rsidRPr="00B71B90">
        <w:rPr>
          <w:rFonts w:cs="Times New Roman"/>
          <w:b/>
          <w:bCs/>
          <w:lang w:bidi="fa-IR"/>
        </w:rPr>
        <w:t>*</w:t>
      </w:r>
    </w:p>
    <w:p w14:paraId="0AB9566B" w14:textId="77777777" w:rsidR="00860961" w:rsidRDefault="00860961" w:rsidP="00860961">
      <w:pPr>
        <w:spacing w:before="100" w:beforeAutospacing="1" w:after="100" w:afterAutospacing="1"/>
        <w:rPr>
          <w:rFonts w:cs="Times New Roman"/>
          <w:b/>
          <w:bCs/>
          <w:lang w:bidi="fa-IR"/>
        </w:rPr>
      </w:pPr>
      <w:r w:rsidRPr="00B71B90">
        <w:rPr>
          <w:rFonts w:cs="Times New Roman"/>
          <w:b/>
          <w:bCs/>
          <w:lang w:bidi="fa-IR"/>
        </w:rPr>
        <w:br/>
      </w:r>
      <w:r>
        <w:rPr>
          <w:rFonts w:cs="Times New Roman"/>
          <w:b/>
          <w:bCs/>
          <w:lang w:bidi="fa-IR"/>
        </w:rPr>
        <w:t xml:space="preserve">1. </w:t>
      </w:r>
      <w:r w:rsidRPr="00B71B90">
        <w:rPr>
          <w:rFonts w:cs="Times New Roman"/>
          <w:b/>
          <w:bCs/>
          <w:lang w:bidi="fa-IR"/>
        </w:rPr>
        <w:t xml:space="preserve">Department of Emergency Medicine, Faculty of Medicine, Mashhad University of </w:t>
      </w:r>
      <w:r>
        <w:rPr>
          <w:rFonts w:cs="Times New Roman"/>
          <w:b/>
          <w:bCs/>
          <w:lang w:bidi="fa-IR"/>
        </w:rPr>
        <w:t>Medical Sciences, Mashhad, Iran</w:t>
      </w:r>
    </w:p>
    <w:p w14:paraId="4B3AE083" w14:textId="7041BD36" w:rsidR="00047678" w:rsidRDefault="00E556DA" w:rsidP="00977D07">
      <w:pPr>
        <w:spacing w:before="100" w:beforeAutospacing="1" w:after="100" w:afterAutospacing="1"/>
        <w:rPr>
          <w:rFonts w:cs="Times New Roman"/>
          <w:b/>
          <w:bCs/>
          <w:lang w:bidi="fa-IR"/>
        </w:rPr>
      </w:pPr>
      <w:r>
        <w:rPr>
          <w:rFonts w:cs="Times New Roman"/>
          <w:b/>
          <w:bCs/>
          <w:lang w:bidi="fa-IR"/>
        </w:rPr>
        <w:t>2.</w:t>
      </w:r>
      <w:r w:rsidRPr="00E556DA">
        <w:t xml:space="preserve"> </w:t>
      </w:r>
      <w:r w:rsidR="00977D07" w:rsidRPr="00A31E2D">
        <w:rPr>
          <w:rFonts w:cs="Times New Roman"/>
          <w:b/>
          <w:bCs/>
          <w:lang w:bidi="fa-IR"/>
        </w:rPr>
        <w:t xml:space="preserve">Ph.D. Student, Department of </w:t>
      </w:r>
      <w:r w:rsidR="00977D07" w:rsidRPr="00047678">
        <w:rPr>
          <w:rFonts w:cs="Times New Roman"/>
          <w:b/>
          <w:bCs/>
          <w:lang w:bidi="fa-IR"/>
        </w:rPr>
        <w:t>Management</w:t>
      </w:r>
      <w:r w:rsidR="00977D07" w:rsidRPr="00A31E2D">
        <w:rPr>
          <w:rFonts w:cs="Times New Roman"/>
          <w:b/>
          <w:bCs/>
          <w:lang w:bidi="fa-IR"/>
        </w:rPr>
        <w:t xml:space="preserve">, </w:t>
      </w:r>
      <w:r w:rsidR="00977D07" w:rsidRPr="00047678">
        <w:rPr>
          <w:rFonts w:cs="Times New Roman"/>
          <w:b/>
          <w:bCs/>
          <w:lang w:bidi="fa-IR"/>
        </w:rPr>
        <w:t xml:space="preserve">Shahroud </w:t>
      </w:r>
      <w:r w:rsidR="00977D07" w:rsidRPr="00A31E2D">
        <w:rPr>
          <w:rFonts w:cs="Times New Roman"/>
          <w:b/>
          <w:bCs/>
          <w:lang w:bidi="fa-IR"/>
        </w:rPr>
        <w:t xml:space="preserve">Branch, Islamic Azad University, </w:t>
      </w:r>
      <w:r w:rsidR="00977D07" w:rsidRPr="00047678">
        <w:rPr>
          <w:rFonts w:cs="Times New Roman"/>
          <w:b/>
          <w:bCs/>
          <w:lang w:bidi="fa-IR"/>
        </w:rPr>
        <w:t>Shahroud</w:t>
      </w:r>
      <w:r w:rsidR="00977D07" w:rsidRPr="00A31E2D">
        <w:rPr>
          <w:rFonts w:cs="Times New Roman"/>
          <w:b/>
          <w:bCs/>
          <w:lang w:bidi="fa-IR"/>
        </w:rPr>
        <w:t>, Iran</w:t>
      </w:r>
    </w:p>
    <w:p w14:paraId="2E0C6713" w14:textId="77777777" w:rsidR="00BB101E" w:rsidRDefault="00E556DA" w:rsidP="00BB101E">
      <w:pPr>
        <w:spacing w:before="100" w:beforeAutospacing="1" w:after="100" w:afterAutospacing="1"/>
        <w:rPr>
          <w:rFonts w:cs="Times New Roman"/>
          <w:b/>
          <w:bCs/>
          <w:lang w:bidi="fa-IR"/>
        </w:rPr>
      </w:pPr>
      <w:r>
        <w:rPr>
          <w:rFonts w:cs="Times New Roman"/>
          <w:b/>
          <w:bCs/>
          <w:lang w:bidi="fa-IR"/>
        </w:rPr>
        <w:t>3</w:t>
      </w:r>
      <w:r w:rsidR="00860961">
        <w:rPr>
          <w:rFonts w:cs="Times New Roman"/>
          <w:b/>
          <w:bCs/>
          <w:lang w:bidi="fa-IR"/>
        </w:rPr>
        <w:t xml:space="preserve">. </w:t>
      </w:r>
      <w:r w:rsidR="00BB101E" w:rsidRPr="00BB101E">
        <w:rPr>
          <w:rFonts w:cs="Times New Roman"/>
          <w:b/>
          <w:bCs/>
          <w:lang w:bidi="fa-IR"/>
        </w:rPr>
        <w:t xml:space="preserve">MSc student of computer networks, Iqbal Institute of Higher Education, Mashhad, Iran </w:t>
      </w:r>
    </w:p>
    <w:p w14:paraId="5BBE8595" w14:textId="2CDB149A" w:rsidR="00977D07" w:rsidRPr="00B71B90" w:rsidRDefault="00E556DA" w:rsidP="00BB101E">
      <w:pPr>
        <w:spacing w:before="100" w:beforeAutospacing="1" w:after="100" w:afterAutospacing="1"/>
        <w:rPr>
          <w:rFonts w:cs="Times New Roman"/>
          <w:b/>
          <w:bCs/>
          <w:lang w:bidi="fa-IR"/>
        </w:rPr>
      </w:pPr>
      <w:bookmarkStart w:id="4" w:name="_GoBack"/>
      <w:bookmarkEnd w:id="4"/>
      <w:r>
        <w:rPr>
          <w:rFonts w:cs="Times New Roman"/>
          <w:b/>
          <w:bCs/>
          <w:lang w:bidi="fa-IR"/>
        </w:rPr>
        <w:t>4</w:t>
      </w:r>
      <w:r w:rsidR="00860961">
        <w:rPr>
          <w:rFonts w:cs="Times New Roman"/>
          <w:b/>
          <w:bCs/>
          <w:lang w:bidi="fa-IR"/>
        </w:rPr>
        <w:t xml:space="preserve">. </w:t>
      </w:r>
      <w:r w:rsidR="00977D07" w:rsidRPr="00047678">
        <w:rPr>
          <w:rFonts w:cs="Times New Roman"/>
          <w:b/>
          <w:bCs/>
          <w:lang w:bidi="fa-IR"/>
        </w:rPr>
        <w:t>Assistant Professor, Department of Management, Shahroud Branch, Islamic Azad University, Shahroud, Iran</w:t>
      </w:r>
    </w:p>
    <w:p w14:paraId="530A8E72" w14:textId="77777777" w:rsidR="00B55AB2" w:rsidRPr="00D26024" w:rsidRDefault="0016451D" w:rsidP="0016451D">
      <w:pPr>
        <w:pStyle w:val="Heading2"/>
        <w:ind w:left="567" w:right="567"/>
        <w:jc w:val="right"/>
        <w:rPr>
          <w:rFonts w:cs="Nazanin"/>
        </w:rPr>
      </w:pPr>
      <w:r w:rsidRPr="00D26024">
        <w:rPr>
          <w:rFonts w:cs="Nazanin"/>
        </w:rPr>
        <w:t>Abstract</w:t>
      </w:r>
    </w:p>
    <w:p w14:paraId="3BA46818" w14:textId="5360C7E9" w:rsidR="00E67202" w:rsidRPr="00E67202" w:rsidRDefault="00E67202" w:rsidP="00E67202">
      <w:pPr>
        <w:pStyle w:val="NormalWeb"/>
        <w:rPr>
          <w:sz w:val="20"/>
          <w:szCs w:val="20"/>
        </w:rPr>
      </w:pPr>
      <w:bookmarkStart w:id="5" w:name="OLE_LINK8"/>
      <w:bookmarkStart w:id="6" w:name="OLE_LINK9"/>
      <w:r w:rsidRPr="00E67202">
        <w:rPr>
          <w:rStyle w:val="Strong"/>
          <w:sz w:val="20"/>
          <w:szCs w:val="20"/>
        </w:rPr>
        <w:t xml:space="preserve">Background: </w:t>
      </w:r>
      <w:r w:rsidRPr="00E67202">
        <w:rPr>
          <w:sz w:val="20"/>
          <w:szCs w:val="20"/>
        </w:rPr>
        <w:br/>
        <w:t>Effective crisis management is essential for healthcare institutions and organizations facing emergencies, including natural disasters, pandemics, industrial accidents, and mass casualty events. Beyond technical resources, human factors—knowledge, skills, and organizational culture—play a critical role in mitigating risks and improving response outcomes.</w:t>
      </w:r>
    </w:p>
    <w:p w14:paraId="2D3A3145" w14:textId="08280529" w:rsidR="00E67202" w:rsidRPr="00E67202" w:rsidRDefault="00E67202" w:rsidP="00E67202">
      <w:pPr>
        <w:pStyle w:val="NormalWeb"/>
        <w:rPr>
          <w:sz w:val="20"/>
          <w:szCs w:val="20"/>
        </w:rPr>
      </w:pPr>
      <w:r w:rsidRPr="00E67202">
        <w:rPr>
          <w:rStyle w:val="Strong"/>
          <w:sz w:val="20"/>
          <w:szCs w:val="20"/>
        </w:rPr>
        <w:t xml:space="preserve">Objective: </w:t>
      </w:r>
      <w:r w:rsidRPr="00E67202">
        <w:rPr>
          <w:sz w:val="20"/>
          <w:szCs w:val="20"/>
        </w:rPr>
        <w:br/>
        <w:t>This review aims to examine the impact of training programs and culture development initiatives on crisis management effectiveness, highlighting evidence-based strategies to enhance preparedness, resilience, and decision-making in healthcare and organizational settings.</w:t>
      </w:r>
    </w:p>
    <w:p w14:paraId="2C80E1A9" w14:textId="5E28E4FE" w:rsidR="00E67202" w:rsidRPr="00E67202" w:rsidRDefault="00E67202" w:rsidP="00E67202">
      <w:pPr>
        <w:pStyle w:val="NormalWeb"/>
        <w:rPr>
          <w:sz w:val="20"/>
          <w:szCs w:val="20"/>
        </w:rPr>
      </w:pPr>
      <w:r w:rsidRPr="00E67202">
        <w:rPr>
          <w:rStyle w:val="Strong"/>
          <w:sz w:val="20"/>
          <w:szCs w:val="20"/>
        </w:rPr>
        <w:t xml:space="preserve">Methods: </w:t>
      </w:r>
      <w:r w:rsidRPr="00E67202">
        <w:rPr>
          <w:sz w:val="20"/>
          <w:szCs w:val="20"/>
        </w:rPr>
        <w:br/>
        <w:t>A narrative review was conducted of studies published between 2010 and 2025, using PubMed, Scopus, and Web of Science. Keywords included “crisis management,” “emergency preparedness,” “training programs,” “organizational culture,” and “disaster response.” Studies focusing on the role of staff education, simulation exercises, drills, and cultural interventions in improving crisis response were included.</w:t>
      </w:r>
    </w:p>
    <w:p w14:paraId="675DCFB5" w14:textId="34ED472C" w:rsidR="00E67202" w:rsidRPr="00E67202" w:rsidRDefault="00E67202" w:rsidP="00E67202">
      <w:pPr>
        <w:pStyle w:val="NormalWeb"/>
        <w:rPr>
          <w:sz w:val="20"/>
          <w:szCs w:val="20"/>
        </w:rPr>
      </w:pPr>
      <w:r w:rsidRPr="00E67202">
        <w:rPr>
          <w:rStyle w:val="Strong"/>
          <w:sz w:val="20"/>
          <w:szCs w:val="20"/>
        </w:rPr>
        <w:t xml:space="preserve">Results: </w:t>
      </w:r>
      <w:r w:rsidRPr="00E67202">
        <w:rPr>
          <w:sz w:val="20"/>
          <w:szCs w:val="20"/>
        </w:rPr>
        <w:br/>
        <w:t>Evidence indicates that structured training programs, including scenario-based simulations, tabletop exercises, and continuous education, significantly improve staff knowledge, confidence, and decision-making skills during crises. Organizational culture initiatives that promote communication, teamwork, adaptability, and safety awareness enhance preparedness, reduce errors, and increase overall resilience. Combining training with culture development leads to more effective coordination, faster response times, and reduced negative outcomes during emergencies.</w:t>
      </w:r>
    </w:p>
    <w:p w14:paraId="2F9E1C40" w14:textId="1CCD4BCB" w:rsidR="00273820" w:rsidRPr="00E67202" w:rsidRDefault="00E67202" w:rsidP="00E67202">
      <w:pPr>
        <w:pStyle w:val="NormalWeb"/>
        <w:rPr>
          <w:sz w:val="20"/>
          <w:szCs w:val="20"/>
          <w:rtl/>
        </w:rPr>
      </w:pPr>
      <w:r w:rsidRPr="00E67202">
        <w:rPr>
          <w:rStyle w:val="Strong"/>
          <w:sz w:val="20"/>
          <w:szCs w:val="20"/>
        </w:rPr>
        <w:t xml:space="preserve">Conclusion: </w:t>
      </w:r>
      <w:r w:rsidRPr="00E67202">
        <w:rPr>
          <w:sz w:val="20"/>
          <w:szCs w:val="20"/>
        </w:rPr>
        <w:br/>
        <w:t>Integrating continuous training and culture-building initiatives into crisis management frameworks is critical for improving organizational preparedness and resilience. Healthcare and other high-risk institutions should prioritize educational programs and foster a culture of safety, adaptability, and shared responsibility to enhance their capacity to respond effectively to emergencies.</w:t>
      </w:r>
    </w:p>
    <w:p w14:paraId="5FAE84D0" w14:textId="06EF139F" w:rsidR="00D14553" w:rsidRPr="00D14553" w:rsidRDefault="00D26024" w:rsidP="00E67202">
      <w:pPr>
        <w:pStyle w:val="Heading2"/>
        <w:ind w:left="567" w:right="567"/>
        <w:jc w:val="right"/>
        <w:rPr>
          <w:rFonts w:cs="Nazanin"/>
          <w:b w:val="0"/>
          <w:bCs w:val="0"/>
          <w:sz w:val="28"/>
          <w:szCs w:val="32"/>
          <w:rtl/>
          <w:lang w:bidi="fa-IR"/>
        </w:rPr>
      </w:pPr>
      <w:r w:rsidRPr="00D26024">
        <w:rPr>
          <w:rFonts w:cs="Nazanin"/>
        </w:rPr>
        <w:t>Keywords</w:t>
      </w:r>
      <w:r w:rsidRPr="00D26024">
        <w:rPr>
          <w:rFonts w:cs="Traditional Arabic"/>
          <w:b w:val="0"/>
          <w:bCs w:val="0"/>
          <w:sz w:val="20"/>
          <w:szCs w:val="20"/>
        </w:rPr>
        <w:t xml:space="preserve">: </w:t>
      </w:r>
      <w:r w:rsidR="00E67202" w:rsidRPr="00E67202">
        <w:rPr>
          <w:rFonts w:cs="Traditional Arabic"/>
          <w:b w:val="0"/>
          <w:bCs w:val="0"/>
          <w:sz w:val="20"/>
          <w:szCs w:val="20"/>
        </w:rPr>
        <w:t>Crisis Management, Training, Organizational Culture, Emergency Preparedness, Healthcare, Resilience</w:t>
      </w:r>
      <w:r>
        <w:rPr>
          <w:b w:val="0"/>
          <w:bCs w:val="0"/>
        </w:rPr>
        <w:t>.</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bookmarkEnd w:id="5"/>
    <w:bookmarkEnd w:id="6"/>
    <w:p w14:paraId="0201F0B5" w14:textId="6725906B" w:rsidR="000B200C" w:rsidRPr="009120D2" w:rsidRDefault="00E67202" w:rsidP="009120D2">
      <w:pPr>
        <w:rPr>
          <w:rFonts w:cs="Nazanin"/>
          <w:b/>
          <w:bCs/>
          <w:sz w:val="28"/>
          <w:szCs w:val="32"/>
          <w:lang w:bidi="fa-IR"/>
        </w:rPr>
      </w:pPr>
      <w:r>
        <w:rPr>
          <w:rFonts w:cs="Nazanin"/>
          <w:b/>
          <w:bCs/>
          <w:lang w:bidi="fa-IR"/>
        </w:rPr>
        <w:lastRenderedPageBreak/>
        <w:t>1.</w:t>
      </w:r>
      <w:r w:rsidR="000B200C" w:rsidRPr="006A3018">
        <w:rPr>
          <w:rFonts w:cs="Nazanin"/>
          <w:b/>
          <w:bCs/>
          <w:lang w:bidi="fa-IR"/>
        </w:rPr>
        <w:t>Introduction</w:t>
      </w:r>
    </w:p>
    <w:p w14:paraId="7E84FEDB" w14:textId="77777777" w:rsidR="00417935" w:rsidRDefault="00417935" w:rsidP="00417935">
      <w:pPr>
        <w:spacing w:line="232" w:lineRule="auto"/>
      </w:pPr>
      <w:r>
        <w:t>Crises such as pandemics, natural disasters, and industrial accidents pose significant challenges to organizations, particularly in healthcare. Effective management requires not only resources and protocols but also trained personnel and a culture that promotes adaptability, communication, and rapid decision-making (Hale, Gonzalez, &amp; Drennan, 2020).</w:t>
      </w:r>
    </w:p>
    <w:p w14:paraId="4F3201E2" w14:textId="77777777" w:rsidR="00417935" w:rsidRDefault="00417935" w:rsidP="00417935">
      <w:pPr>
        <w:spacing w:line="232" w:lineRule="auto"/>
      </w:pPr>
    </w:p>
    <w:p w14:paraId="4C7F0B59" w14:textId="77777777" w:rsidR="00417935" w:rsidRDefault="00417935" w:rsidP="00417935">
      <w:pPr>
        <w:spacing w:line="232" w:lineRule="auto"/>
      </w:pPr>
      <w:r>
        <w:t>Training programs, including simulation exercises, tabletop drills, and continuous education, improve staff knowledge, skills, and confidence, enabling efficient response during emergencies (Alqahtani, 2021; Thim, 2022). Simultaneously, organizational culture influences behavior, teamwork, and adherence to safety protocols. A culture emphasizing communication, adaptability, and proactive problem-solving fosters resilience and effective coordination (Carbonara, 2024; Patel, 2019).</w:t>
      </w:r>
    </w:p>
    <w:p w14:paraId="40E343C7" w14:textId="77777777" w:rsidR="00417935" w:rsidRDefault="00417935" w:rsidP="00417935">
      <w:pPr>
        <w:spacing w:line="232" w:lineRule="auto"/>
      </w:pPr>
    </w:p>
    <w:p w14:paraId="69ABF917" w14:textId="77777777" w:rsidR="00417935" w:rsidRDefault="00417935" w:rsidP="00417935">
      <w:pPr>
        <w:spacing w:line="232" w:lineRule="auto"/>
      </w:pPr>
      <w:r>
        <w:t>Evidence shows that combining structured training with culture development leads to superior outcomes compared to either approach alone (Mahdi &amp; Golshan, 2023; Voicescu, 2025). Despite this, challenges such as sustaining training programs and embedding cultural change remain.</w:t>
      </w:r>
    </w:p>
    <w:p w14:paraId="057FD25B" w14:textId="77777777" w:rsidR="00417935" w:rsidRDefault="00417935" w:rsidP="00417935">
      <w:pPr>
        <w:spacing w:line="232" w:lineRule="auto"/>
      </w:pPr>
    </w:p>
    <w:p w14:paraId="1885857A" w14:textId="13B5AF39" w:rsidR="00E67202" w:rsidRDefault="00417935" w:rsidP="00417935">
      <w:pPr>
        <w:spacing w:line="232" w:lineRule="auto"/>
        <w:jc w:val="both"/>
        <w:rPr>
          <w:b/>
          <w:bCs/>
          <w:rtl/>
          <w:lang w:bidi="fa-IR"/>
        </w:rPr>
      </w:pPr>
      <w:r>
        <w:t>This review aims to summarize current evidence on the role of training and culture development in crisis management, focusing on interventions that improve preparedness, resilience, and organizational effectiveness.</w:t>
      </w:r>
    </w:p>
    <w:p w14:paraId="1FAD6F34" w14:textId="77777777" w:rsidR="00E67202" w:rsidRDefault="00E67202" w:rsidP="00E67202">
      <w:pPr>
        <w:pStyle w:val="Heading2"/>
        <w:bidi w:val="0"/>
        <w:jc w:val="left"/>
        <w:rPr>
          <w:rStyle w:val="Strong"/>
          <w:b/>
          <w:bCs/>
          <w:sz w:val="20"/>
          <w:szCs w:val="20"/>
        </w:rPr>
      </w:pPr>
      <w:r w:rsidRPr="00E67202">
        <w:rPr>
          <w:rStyle w:val="Strong"/>
          <w:b/>
          <w:bCs/>
          <w:sz w:val="20"/>
          <w:szCs w:val="20"/>
        </w:rPr>
        <w:t>2. Methods</w:t>
      </w:r>
    </w:p>
    <w:p w14:paraId="4D27650C" w14:textId="49105BCA" w:rsidR="00E67202" w:rsidRPr="00E67202" w:rsidRDefault="00E67202" w:rsidP="00E67202">
      <w:pPr>
        <w:pStyle w:val="Heading2"/>
        <w:bidi w:val="0"/>
        <w:jc w:val="left"/>
        <w:rPr>
          <w:rFonts w:cs="Times New Roman"/>
          <w:b w:val="0"/>
          <w:bCs w:val="0"/>
          <w:noProof w:val="0"/>
          <w:sz w:val="20"/>
          <w:szCs w:val="20"/>
        </w:rPr>
      </w:pPr>
      <w:r w:rsidRPr="00E67202">
        <w:rPr>
          <w:b w:val="0"/>
          <w:bCs w:val="0"/>
          <w:sz w:val="20"/>
          <w:szCs w:val="20"/>
        </w:rPr>
        <w:t>This narrative review was conducted to examine the impact of training programs and organizational culture development on crisis management in healthcare and high-risk organizations. The aim was to identify evidence-based strategies that enhance preparedness, resilience, and response effectiveness.</w:t>
      </w:r>
    </w:p>
    <w:p w14:paraId="7B5C5001" w14:textId="77777777" w:rsidR="00E67202" w:rsidRPr="00E67202" w:rsidRDefault="00E67202" w:rsidP="00E67202">
      <w:pPr>
        <w:pStyle w:val="Heading3"/>
        <w:bidi w:val="0"/>
        <w:jc w:val="left"/>
        <w:rPr>
          <w:sz w:val="20"/>
          <w:szCs w:val="20"/>
        </w:rPr>
      </w:pPr>
      <w:r w:rsidRPr="00E67202">
        <w:rPr>
          <w:rStyle w:val="Strong"/>
          <w:b/>
          <w:bCs/>
          <w:sz w:val="20"/>
          <w:szCs w:val="20"/>
        </w:rPr>
        <w:t>2.1 Search Strategy</w:t>
      </w:r>
    </w:p>
    <w:p w14:paraId="1F761D9E" w14:textId="77777777" w:rsidR="00E67202" w:rsidRPr="00E67202" w:rsidRDefault="00E67202" w:rsidP="00E67202">
      <w:pPr>
        <w:pStyle w:val="NormalWeb"/>
        <w:rPr>
          <w:sz w:val="20"/>
          <w:szCs w:val="20"/>
        </w:rPr>
      </w:pPr>
      <w:r w:rsidRPr="00E67202">
        <w:rPr>
          <w:sz w:val="20"/>
          <w:szCs w:val="20"/>
        </w:rPr>
        <w:t xml:space="preserve">A comprehensive search was performed in </w:t>
      </w:r>
      <w:r w:rsidRPr="00E67202">
        <w:rPr>
          <w:rStyle w:val="Strong"/>
          <w:sz w:val="20"/>
          <w:szCs w:val="20"/>
        </w:rPr>
        <w:t>PubMed, Scopus, and Web of Science</w:t>
      </w:r>
      <w:r w:rsidRPr="00E67202">
        <w:rPr>
          <w:sz w:val="20"/>
          <w:szCs w:val="20"/>
        </w:rPr>
        <w:t xml:space="preserve"> for studies published between </w:t>
      </w:r>
      <w:r w:rsidRPr="00E67202">
        <w:rPr>
          <w:rStyle w:val="Strong"/>
          <w:sz w:val="20"/>
          <w:szCs w:val="20"/>
        </w:rPr>
        <w:t>2010 and 2025</w:t>
      </w:r>
      <w:r w:rsidRPr="00E67202">
        <w:rPr>
          <w:sz w:val="20"/>
          <w:szCs w:val="20"/>
        </w:rPr>
        <w:t>. The following keywords and combinations were used:</w:t>
      </w:r>
    </w:p>
    <w:p w14:paraId="115AF591" w14:textId="77777777" w:rsidR="00E67202" w:rsidRPr="00E67202" w:rsidRDefault="00E67202" w:rsidP="00E67202">
      <w:pPr>
        <w:pStyle w:val="NormalWeb"/>
        <w:numPr>
          <w:ilvl w:val="0"/>
          <w:numId w:val="16"/>
        </w:numPr>
        <w:rPr>
          <w:sz w:val="20"/>
          <w:szCs w:val="20"/>
        </w:rPr>
      </w:pPr>
      <w:r w:rsidRPr="00E67202">
        <w:rPr>
          <w:sz w:val="20"/>
          <w:szCs w:val="20"/>
        </w:rPr>
        <w:t>“Crisis management”</w:t>
      </w:r>
    </w:p>
    <w:p w14:paraId="698B73DF" w14:textId="77777777" w:rsidR="00E67202" w:rsidRPr="00E67202" w:rsidRDefault="00E67202" w:rsidP="00E67202">
      <w:pPr>
        <w:pStyle w:val="NormalWeb"/>
        <w:numPr>
          <w:ilvl w:val="0"/>
          <w:numId w:val="16"/>
        </w:numPr>
        <w:rPr>
          <w:sz w:val="20"/>
          <w:szCs w:val="20"/>
        </w:rPr>
      </w:pPr>
      <w:r w:rsidRPr="00E67202">
        <w:rPr>
          <w:sz w:val="20"/>
          <w:szCs w:val="20"/>
        </w:rPr>
        <w:t>“Emergency preparedness”</w:t>
      </w:r>
    </w:p>
    <w:p w14:paraId="25E914B2" w14:textId="77777777" w:rsidR="00E67202" w:rsidRPr="00E67202" w:rsidRDefault="00E67202" w:rsidP="00E67202">
      <w:pPr>
        <w:pStyle w:val="NormalWeb"/>
        <w:numPr>
          <w:ilvl w:val="0"/>
          <w:numId w:val="16"/>
        </w:numPr>
        <w:rPr>
          <w:sz w:val="20"/>
          <w:szCs w:val="20"/>
        </w:rPr>
      </w:pPr>
      <w:r w:rsidRPr="00E67202">
        <w:rPr>
          <w:sz w:val="20"/>
          <w:szCs w:val="20"/>
        </w:rPr>
        <w:t>“Training programs”</w:t>
      </w:r>
    </w:p>
    <w:p w14:paraId="79CBAC9A" w14:textId="77777777" w:rsidR="00E67202" w:rsidRPr="00E67202" w:rsidRDefault="00E67202" w:rsidP="00E67202">
      <w:pPr>
        <w:pStyle w:val="NormalWeb"/>
        <w:numPr>
          <w:ilvl w:val="0"/>
          <w:numId w:val="16"/>
        </w:numPr>
        <w:rPr>
          <w:sz w:val="20"/>
          <w:szCs w:val="20"/>
        </w:rPr>
      </w:pPr>
      <w:r w:rsidRPr="00E67202">
        <w:rPr>
          <w:sz w:val="20"/>
          <w:szCs w:val="20"/>
        </w:rPr>
        <w:t>“Simulation exercises”</w:t>
      </w:r>
    </w:p>
    <w:p w14:paraId="15A99C24" w14:textId="77777777" w:rsidR="00E67202" w:rsidRPr="00E67202" w:rsidRDefault="00E67202" w:rsidP="00E67202">
      <w:pPr>
        <w:pStyle w:val="NormalWeb"/>
        <w:numPr>
          <w:ilvl w:val="0"/>
          <w:numId w:val="16"/>
        </w:numPr>
        <w:rPr>
          <w:sz w:val="20"/>
          <w:szCs w:val="20"/>
        </w:rPr>
      </w:pPr>
      <w:r w:rsidRPr="00E67202">
        <w:rPr>
          <w:sz w:val="20"/>
          <w:szCs w:val="20"/>
        </w:rPr>
        <w:t>“Organizational culture”</w:t>
      </w:r>
    </w:p>
    <w:p w14:paraId="26D7BEDC" w14:textId="77777777" w:rsidR="00E67202" w:rsidRPr="00E67202" w:rsidRDefault="00E67202" w:rsidP="00E67202">
      <w:pPr>
        <w:pStyle w:val="NormalWeb"/>
        <w:numPr>
          <w:ilvl w:val="0"/>
          <w:numId w:val="16"/>
        </w:numPr>
        <w:rPr>
          <w:sz w:val="20"/>
          <w:szCs w:val="20"/>
        </w:rPr>
      </w:pPr>
      <w:r w:rsidRPr="00E67202">
        <w:rPr>
          <w:sz w:val="20"/>
          <w:szCs w:val="20"/>
        </w:rPr>
        <w:t>“Disaster response”</w:t>
      </w:r>
    </w:p>
    <w:p w14:paraId="3DC1D716" w14:textId="77777777" w:rsidR="00E67202" w:rsidRPr="00E67202" w:rsidRDefault="00E67202" w:rsidP="00E67202">
      <w:pPr>
        <w:pStyle w:val="NormalWeb"/>
        <w:rPr>
          <w:sz w:val="20"/>
          <w:szCs w:val="20"/>
        </w:rPr>
      </w:pPr>
      <w:r w:rsidRPr="00E67202">
        <w:rPr>
          <w:sz w:val="20"/>
          <w:szCs w:val="20"/>
        </w:rPr>
        <w:t>Boolean operators (AND, OR) were applied to combine terms (e.g., “Crisis management AND Training programs AND Healthcare”).</w:t>
      </w:r>
    </w:p>
    <w:p w14:paraId="506546AD" w14:textId="77777777" w:rsidR="00E67202" w:rsidRPr="00E67202" w:rsidRDefault="00E67202" w:rsidP="00E67202">
      <w:pPr>
        <w:pStyle w:val="Heading3"/>
        <w:bidi w:val="0"/>
        <w:jc w:val="left"/>
        <w:rPr>
          <w:sz w:val="20"/>
          <w:szCs w:val="20"/>
        </w:rPr>
      </w:pPr>
      <w:r w:rsidRPr="00E67202">
        <w:rPr>
          <w:rStyle w:val="Strong"/>
          <w:b/>
          <w:bCs/>
          <w:sz w:val="20"/>
          <w:szCs w:val="20"/>
        </w:rPr>
        <w:t>2.2 Inclusion and Exclusion Criteria</w:t>
      </w:r>
    </w:p>
    <w:p w14:paraId="585532F6" w14:textId="77777777" w:rsidR="00E67202" w:rsidRPr="00E67202" w:rsidRDefault="00E67202" w:rsidP="00E67202">
      <w:pPr>
        <w:pStyle w:val="NormalWeb"/>
        <w:rPr>
          <w:sz w:val="20"/>
          <w:szCs w:val="20"/>
        </w:rPr>
      </w:pPr>
      <w:r w:rsidRPr="00E67202">
        <w:rPr>
          <w:rStyle w:val="Strong"/>
          <w:sz w:val="20"/>
          <w:szCs w:val="20"/>
        </w:rPr>
        <w:t>Inclusion criteria:</w:t>
      </w:r>
    </w:p>
    <w:p w14:paraId="5790F895" w14:textId="77777777" w:rsidR="00E67202" w:rsidRPr="00E67202" w:rsidRDefault="00E67202" w:rsidP="00E67202">
      <w:pPr>
        <w:pStyle w:val="NormalWeb"/>
        <w:numPr>
          <w:ilvl w:val="0"/>
          <w:numId w:val="17"/>
        </w:numPr>
        <w:rPr>
          <w:sz w:val="20"/>
          <w:szCs w:val="20"/>
        </w:rPr>
      </w:pPr>
      <w:r w:rsidRPr="00E67202">
        <w:rPr>
          <w:sz w:val="20"/>
          <w:szCs w:val="20"/>
        </w:rPr>
        <w:t>Studies evaluating the impact of training or culture interventions on crisis response outcomes.</w:t>
      </w:r>
    </w:p>
    <w:p w14:paraId="6F9D5793" w14:textId="77777777" w:rsidR="00E67202" w:rsidRPr="00E67202" w:rsidRDefault="00E67202" w:rsidP="00E67202">
      <w:pPr>
        <w:pStyle w:val="NormalWeb"/>
        <w:numPr>
          <w:ilvl w:val="0"/>
          <w:numId w:val="17"/>
        </w:numPr>
        <w:rPr>
          <w:sz w:val="20"/>
          <w:szCs w:val="20"/>
        </w:rPr>
      </w:pPr>
      <w:r w:rsidRPr="00E67202">
        <w:rPr>
          <w:sz w:val="20"/>
          <w:szCs w:val="20"/>
        </w:rPr>
        <w:t>Settings included healthcare institutions, emergency services, or other high-risk industries.</w:t>
      </w:r>
    </w:p>
    <w:p w14:paraId="02358E61" w14:textId="77777777" w:rsidR="00E67202" w:rsidRPr="00E67202" w:rsidRDefault="00E67202" w:rsidP="00E67202">
      <w:pPr>
        <w:pStyle w:val="NormalWeb"/>
        <w:numPr>
          <w:ilvl w:val="0"/>
          <w:numId w:val="17"/>
        </w:numPr>
        <w:rPr>
          <w:sz w:val="20"/>
          <w:szCs w:val="20"/>
        </w:rPr>
      </w:pPr>
      <w:r w:rsidRPr="00E67202">
        <w:rPr>
          <w:sz w:val="20"/>
          <w:szCs w:val="20"/>
        </w:rPr>
        <w:t>Studies published in English between 2010 and 2025.</w:t>
      </w:r>
    </w:p>
    <w:p w14:paraId="5BA3C8F9" w14:textId="77777777" w:rsidR="00E67202" w:rsidRPr="00E67202" w:rsidRDefault="00E67202" w:rsidP="00E67202">
      <w:pPr>
        <w:pStyle w:val="NormalWeb"/>
        <w:rPr>
          <w:sz w:val="20"/>
          <w:szCs w:val="20"/>
        </w:rPr>
      </w:pPr>
      <w:r w:rsidRPr="00E67202">
        <w:rPr>
          <w:rStyle w:val="Strong"/>
          <w:sz w:val="20"/>
          <w:szCs w:val="20"/>
        </w:rPr>
        <w:t>Exclusion criteria:</w:t>
      </w:r>
    </w:p>
    <w:p w14:paraId="3561D8F8" w14:textId="77777777" w:rsidR="00E67202" w:rsidRPr="00E67202" w:rsidRDefault="00E67202" w:rsidP="00E67202">
      <w:pPr>
        <w:pStyle w:val="NormalWeb"/>
        <w:numPr>
          <w:ilvl w:val="0"/>
          <w:numId w:val="18"/>
        </w:numPr>
        <w:rPr>
          <w:sz w:val="20"/>
          <w:szCs w:val="20"/>
        </w:rPr>
      </w:pPr>
      <w:r w:rsidRPr="00E67202">
        <w:rPr>
          <w:sz w:val="20"/>
          <w:szCs w:val="20"/>
        </w:rPr>
        <w:t>Studies without measurable outcomes related to crisis preparedness or response.</w:t>
      </w:r>
    </w:p>
    <w:p w14:paraId="05CD6AC7" w14:textId="77777777" w:rsidR="00E67202" w:rsidRPr="00E67202" w:rsidRDefault="00E67202" w:rsidP="00E67202">
      <w:pPr>
        <w:pStyle w:val="NormalWeb"/>
        <w:numPr>
          <w:ilvl w:val="0"/>
          <w:numId w:val="18"/>
        </w:numPr>
        <w:rPr>
          <w:sz w:val="20"/>
          <w:szCs w:val="20"/>
        </w:rPr>
      </w:pPr>
      <w:r w:rsidRPr="00E67202">
        <w:rPr>
          <w:sz w:val="20"/>
          <w:szCs w:val="20"/>
        </w:rPr>
        <w:t>Non-English publications, commentaries, or editorials without empirical data.</w:t>
      </w:r>
    </w:p>
    <w:p w14:paraId="34860F1D" w14:textId="77777777" w:rsidR="00E67202" w:rsidRPr="00E67202" w:rsidRDefault="00E67202" w:rsidP="00E67202">
      <w:pPr>
        <w:pStyle w:val="Heading3"/>
        <w:bidi w:val="0"/>
        <w:jc w:val="left"/>
        <w:rPr>
          <w:sz w:val="20"/>
          <w:szCs w:val="20"/>
        </w:rPr>
      </w:pPr>
      <w:r w:rsidRPr="00E67202">
        <w:rPr>
          <w:rStyle w:val="Strong"/>
          <w:b/>
          <w:bCs/>
          <w:sz w:val="20"/>
          <w:szCs w:val="20"/>
        </w:rPr>
        <w:t>2.3 Data Extraction and Synthesis</w:t>
      </w:r>
    </w:p>
    <w:p w14:paraId="15FE9591" w14:textId="77777777" w:rsidR="00E67202" w:rsidRPr="00E67202" w:rsidRDefault="00E67202" w:rsidP="00E67202">
      <w:pPr>
        <w:pStyle w:val="NormalWeb"/>
        <w:rPr>
          <w:sz w:val="20"/>
          <w:szCs w:val="20"/>
        </w:rPr>
      </w:pPr>
      <w:r w:rsidRPr="00E67202">
        <w:rPr>
          <w:sz w:val="20"/>
          <w:szCs w:val="20"/>
        </w:rPr>
        <w:t>From each eligible study, the following data were extracted:</w:t>
      </w:r>
    </w:p>
    <w:p w14:paraId="62BCA0D5" w14:textId="77777777" w:rsidR="00E67202" w:rsidRPr="00E67202" w:rsidRDefault="00E67202" w:rsidP="00E67202">
      <w:pPr>
        <w:pStyle w:val="NormalWeb"/>
        <w:numPr>
          <w:ilvl w:val="0"/>
          <w:numId w:val="19"/>
        </w:numPr>
        <w:rPr>
          <w:sz w:val="20"/>
          <w:szCs w:val="20"/>
        </w:rPr>
      </w:pPr>
      <w:r w:rsidRPr="00E67202">
        <w:rPr>
          <w:sz w:val="20"/>
          <w:szCs w:val="20"/>
        </w:rPr>
        <w:t>Type of intervention (e.g., simulation-based training, drills, cultural programs)</w:t>
      </w:r>
    </w:p>
    <w:p w14:paraId="7972FE51" w14:textId="77777777" w:rsidR="00E67202" w:rsidRPr="00E67202" w:rsidRDefault="00E67202" w:rsidP="00E67202">
      <w:pPr>
        <w:pStyle w:val="NormalWeb"/>
        <w:numPr>
          <w:ilvl w:val="0"/>
          <w:numId w:val="19"/>
        </w:numPr>
        <w:rPr>
          <w:sz w:val="20"/>
          <w:szCs w:val="20"/>
        </w:rPr>
      </w:pPr>
      <w:r w:rsidRPr="00E67202">
        <w:rPr>
          <w:sz w:val="20"/>
          <w:szCs w:val="20"/>
        </w:rPr>
        <w:lastRenderedPageBreak/>
        <w:t>Study design and setting</w:t>
      </w:r>
    </w:p>
    <w:p w14:paraId="4B935BB1" w14:textId="77777777" w:rsidR="00E67202" w:rsidRPr="00E67202" w:rsidRDefault="00E67202" w:rsidP="00E67202">
      <w:pPr>
        <w:pStyle w:val="NormalWeb"/>
        <w:numPr>
          <w:ilvl w:val="0"/>
          <w:numId w:val="19"/>
        </w:numPr>
        <w:rPr>
          <w:sz w:val="20"/>
          <w:szCs w:val="20"/>
        </w:rPr>
      </w:pPr>
      <w:r w:rsidRPr="00E67202">
        <w:rPr>
          <w:sz w:val="20"/>
          <w:szCs w:val="20"/>
        </w:rPr>
        <w:t>Outcome measures related to staff performance, preparedness, resilience, and organizational efficiency</w:t>
      </w:r>
    </w:p>
    <w:p w14:paraId="6F316F49" w14:textId="6EA66EC4" w:rsidR="00E67202" w:rsidRDefault="00E67202" w:rsidP="00E67202">
      <w:pPr>
        <w:pStyle w:val="NormalWeb"/>
        <w:rPr>
          <w:sz w:val="20"/>
          <w:szCs w:val="20"/>
        </w:rPr>
      </w:pPr>
      <w:r w:rsidRPr="00E67202">
        <w:rPr>
          <w:sz w:val="20"/>
          <w:szCs w:val="20"/>
        </w:rPr>
        <w:t xml:space="preserve">Due to heterogeneity in study designs, interventions, and outcomes, a </w:t>
      </w:r>
      <w:r w:rsidRPr="00E67202">
        <w:rPr>
          <w:rStyle w:val="Strong"/>
          <w:sz w:val="20"/>
          <w:szCs w:val="20"/>
        </w:rPr>
        <w:t>narrative synthesis</w:t>
      </w:r>
      <w:r w:rsidRPr="00E67202">
        <w:rPr>
          <w:sz w:val="20"/>
          <w:szCs w:val="20"/>
        </w:rPr>
        <w:t xml:space="preserve"> approach was applied. Key findings were categorized by type of intervention and their impact on crisis management effectiveness.</w:t>
      </w:r>
    </w:p>
    <w:p w14:paraId="2C4A2C12" w14:textId="77777777" w:rsidR="00490A85" w:rsidRPr="00490A85" w:rsidRDefault="00490A85" w:rsidP="00490A85">
      <w:pPr>
        <w:pStyle w:val="Heading2"/>
        <w:bidi w:val="0"/>
        <w:jc w:val="left"/>
        <w:rPr>
          <w:rFonts w:cs="Times New Roman"/>
          <w:noProof w:val="0"/>
          <w:sz w:val="20"/>
          <w:szCs w:val="20"/>
        </w:rPr>
      </w:pPr>
      <w:r w:rsidRPr="00490A85">
        <w:rPr>
          <w:rStyle w:val="Strong"/>
          <w:b/>
          <w:bCs/>
          <w:sz w:val="20"/>
          <w:szCs w:val="20"/>
        </w:rPr>
        <w:t>3. Findings</w:t>
      </w:r>
    </w:p>
    <w:p w14:paraId="34896D41" w14:textId="77777777" w:rsidR="00490A85" w:rsidRPr="00490A85" w:rsidRDefault="00490A85" w:rsidP="00490A85">
      <w:pPr>
        <w:pStyle w:val="Heading3"/>
        <w:bidi w:val="0"/>
        <w:jc w:val="left"/>
        <w:rPr>
          <w:sz w:val="20"/>
          <w:szCs w:val="20"/>
        </w:rPr>
      </w:pPr>
      <w:r w:rsidRPr="00490A85">
        <w:rPr>
          <w:rStyle w:val="Strong"/>
          <w:b/>
          <w:bCs/>
          <w:sz w:val="20"/>
          <w:szCs w:val="20"/>
        </w:rPr>
        <w:t>3.1 Training Programs</w:t>
      </w:r>
    </w:p>
    <w:p w14:paraId="173131BB" w14:textId="083DF20C" w:rsidR="00490A85" w:rsidRPr="00490A85" w:rsidRDefault="00490A85" w:rsidP="00BE2124">
      <w:pPr>
        <w:pStyle w:val="NormalWeb"/>
        <w:rPr>
          <w:sz w:val="20"/>
          <w:szCs w:val="20"/>
        </w:rPr>
      </w:pPr>
      <w:r w:rsidRPr="00490A85">
        <w:rPr>
          <w:sz w:val="20"/>
          <w:szCs w:val="20"/>
        </w:rPr>
        <w:t xml:space="preserve">Structured training programs, including simulation-based exercises, tabletop drills, and scenario-based learning, significantly enhance staff preparedness and response during crises. Studies show that these interventions improve knowledge retention, decision-making under stress, coordination among teams, and adherence to established protocols </w:t>
      </w:r>
      <w:r w:rsidR="00BE2124" w:rsidRPr="00BE2124">
        <w:rPr>
          <w:sz w:val="20"/>
          <w:szCs w:val="20"/>
        </w:rPr>
        <w:t>(Alqahtani, 2021; Thim, 2022; Aljabany, 2021; Mahdi &amp; Golshan, 2023)</w:t>
      </w:r>
      <w:r w:rsidR="00BE2124">
        <w:rPr>
          <w:sz w:val="20"/>
          <w:szCs w:val="20"/>
        </w:rPr>
        <w:t xml:space="preserve">. </w:t>
      </w:r>
      <w:r w:rsidRPr="00490A85">
        <w:rPr>
          <w:sz w:val="20"/>
          <w:szCs w:val="20"/>
        </w:rPr>
        <w:t>Continuous education and refresher courses further reinforce skills, ensuring that staff maintain readiness over time.</w:t>
      </w:r>
    </w:p>
    <w:p w14:paraId="554D819D" w14:textId="77777777" w:rsidR="00490A85" w:rsidRPr="00490A85" w:rsidRDefault="00490A85" w:rsidP="00490A85">
      <w:pPr>
        <w:pStyle w:val="Heading3"/>
        <w:bidi w:val="0"/>
        <w:jc w:val="left"/>
        <w:rPr>
          <w:sz w:val="20"/>
          <w:szCs w:val="20"/>
        </w:rPr>
      </w:pPr>
      <w:r w:rsidRPr="00490A85">
        <w:rPr>
          <w:rStyle w:val="Strong"/>
          <w:b/>
          <w:bCs/>
          <w:sz w:val="20"/>
          <w:szCs w:val="20"/>
        </w:rPr>
        <w:t>3.2 Simulation and Drills</w:t>
      </w:r>
    </w:p>
    <w:p w14:paraId="19724419" w14:textId="77777777" w:rsidR="00490A85" w:rsidRPr="00490A85" w:rsidRDefault="00490A85" w:rsidP="00490A85">
      <w:pPr>
        <w:pStyle w:val="NormalWeb"/>
        <w:rPr>
          <w:sz w:val="20"/>
          <w:szCs w:val="20"/>
        </w:rPr>
      </w:pPr>
      <w:r w:rsidRPr="00490A85">
        <w:rPr>
          <w:sz w:val="20"/>
          <w:szCs w:val="20"/>
        </w:rPr>
        <w:t>Simulation exercises and emergency drills provide realistic, hands-on experience that helps staff practice procedures in a controlled environment. Research indicates that participants in simulation-based training demonstrate faster response times, reduced errors, and increased confidence during real emergencies (Hale, Gonzalez, &amp; Drennan, 2020). Drills also facilitate identification of system weaknesses, enabling organizations to refine emergency plans before actual crises occur.</w:t>
      </w:r>
    </w:p>
    <w:p w14:paraId="4FAB2150" w14:textId="77777777" w:rsidR="00490A85" w:rsidRPr="00490A85" w:rsidRDefault="00490A85" w:rsidP="00490A85">
      <w:pPr>
        <w:pStyle w:val="Heading3"/>
        <w:bidi w:val="0"/>
        <w:jc w:val="left"/>
        <w:rPr>
          <w:sz w:val="20"/>
          <w:szCs w:val="20"/>
        </w:rPr>
      </w:pPr>
      <w:r w:rsidRPr="00490A85">
        <w:rPr>
          <w:rStyle w:val="Strong"/>
          <w:b/>
          <w:bCs/>
          <w:sz w:val="20"/>
          <w:szCs w:val="20"/>
        </w:rPr>
        <w:t>3.3 Organizational Culture Development</w:t>
      </w:r>
    </w:p>
    <w:p w14:paraId="7329D6AC" w14:textId="3F238B6F" w:rsidR="00490A85" w:rsidRPr="00490A85" w:rsidRDefault="00490A85" w:rsidP="00417935">
      <w:pPr>
        <w:pStyle w:val="NormalWeb"/>
        <w:rPr>
          <w:sz w:val="20"/>
          <w:szCs w:val="20"/>
        </w:rPr>
      </w:pPr>
      <w:r w:rsidRPr="00490A85">
        <w:rPr>
          <w:sz w:val="20"/>
          <w:szCs w:val="20"/>
        </w:rPr>
        <w:t xml:space="preserve">Organizational culture plays a critical role in crisis management. A culture that emphasizes teamwork, communication, adaptability, and proactive problem-solving enhances staff engagement and ensures effective coordination during emergencies </w:t>
      </w:r>
      <w:r w:rsidR="00417935" w:rsidRPr="00417935">
        <w:rPr>
          <w:sz w:val="20"/>
          <w:szCs w:val="20"/>
        </w:rPr>
        <w:t>(Carbonara, 2024; Patel, 2019; Singh, 2025; Voicescu, 2025)</w:t>
      </w:r>
      <w:r w:rsidRPr="00490A85">
        <w:rPr>
          <w:sz w:val="20"/>
          <w:szCs w:val="20"/>
        </w:rPr>
        <w:t>. Culture-building initiatives, such as leadership support, recognition of safe practices, and promoting shared responsibility, increase compliance with safety protocols and foster a resilient workforce.</w:t>
      </w:r>
    </w:p>
    <w:p w14:paraId="271D71CE" w14:textId="77777777" w:rsidR="00490A85" w:rsidRPr="00490A85" w:rsidRDefault="00490A85" w:rsidP="00490A85">
      <w:pPr>
        <w:pStyle w:val="Heading3"/>
        <w:bidi w:val="0"/>
        <w:jc w:val="left"/>
        <w:rPr>
          <w:sz w:val="20"/>
          <w:szCs w:val="20"/>
        </w:rPr>
      </w:pPr>
      <w:r w:rsidRPr="00490A85">
        <w:rPr>
          <w:rStyle w:val="Strong"/>
          <w:b/>
          <w:bCs/>
          <w:sz w:val="20"/>
          <w:szCs w:val="20"/>
        </w:rPr>
        <w:t>3.4 Combined Impact of Training and Culture</w:t>
      </w:r>
    </w:p>
    <w:p w14:paraId="2FA3C647" w14:textId="77777777" w:rsidR="00490A85" w:rsidRPr="00490A85" w:rsidRDefault="00490A85" w:rsidP="00490A85">
      <w:pPr>
        <w:pStyle w:val="NormalWeb"/>
        <w:rPr>
          <w:sz w:val="20"/>
          <w:szCs w:val="20"/>
        </w:rPr>
      </w:pPr>
      <w:r w:rsidRPr="00490A85">
        <w:rPr>
          <w:sz w:val="20"/>
          <w:szCs w:val="20"/>
        </w:rPr>
        <w:t>Studies consistently demonstrate that combining structured training programs with culture development interventions yields superior outcomes compared to either approach alone. Institutions that integrate both strategies report faster, more coordinated responses, fewer procedural errors, and enhanced overall preparedness during crises. Furthermore, staff in these organizations exhibit higher morale, reduced stress, and greater confidence in handling emergencies.</w:t>
      </w:r>
    </w:p>
    <w:p w14:paraId="3FAAE617" w14:textId="77777777" w:rsidR="00417935" w:rsidRPr="00417935" w:rsidRDefault="00417935" w:rsidP="00417935">
      <w:pPr>
        <w:pStyle w:val="Heading2"/>
        <w:bidi w:val="0"/>
        <w:jc w:val="left"/>
        <w:rPr>
          <w:rFonts w:cs="Times New Roman"/>
          <w:noProof w:val="0"/>
          <w:sz w:val="20"/>
          <w:szCs w:val="20"/>
        </w:rPr>
      </w:pPr>
      <w:r w:rsidRPr="00417935">
        <w:rPr>
          <w:rStyle w:val="Strong"/>
          <w:b/>
          <w:bCs/>
          <w:sz w:val="20"/>
          <w:szCs w:val="20"/>
        </w:rPr>
        <w:t>4. Discussion</w:t>
      </w:r>
    </w:p>
    <w:p w14:paraId="1A49C5D1" w14:textId="77777777" w:rsidR="00417935" w:rsidRPr="00417935" w:rsidRDefault="00417935" w:rsidP="00417935">
      <w:pPr>
        <w:pStyle w:val="NormalWeb"/>
        <w:rPr>
          <w:sz w:val="20"/>
          <w:szCs w:val="20"/>
        </w:rPr>
      </w:pPr>
      <w:r w:rsidRPr="00417935">
        <w:rPr>
          <w:sz w:val="20"/>
          <w:szCs w:val="20"/>
        </w:rPr>
        <w:t>The findings of this review highlight the critical role of both training and organizational culture in effective crisis management. Structured training programs, including simulation exercises, tabletop drills, and continuous education, equip staff with the necessary knowledge, technical skills, and decision-making abilities to respond efficiently during emergencies. These interventions enhance coordination, reduce procedural errors, and improve overall organizational preparedness (Alqahtani, Alhowimel, &amp; Alshammari, 2021).</w:t>
      </w:r>
    </w:p>
    <w:p w14:paraId="1B36A504" w14:textId="77777777" w:rsidR="00417935" w:rsidRPr="00417935" w:rsidRDefault="00417935" w:rsidP="00417935">
      <w:pPr>
        <w:pStyle w:val="NormalWeb"/>
        <w:rPr>
          <w:sz w:val="20"/>
          <w:szCs w:val="20"/>
        </w:rPr>
      </w:pPr>
      <w:r w:rsidRPr="00417935">
        <w:rPr>
          <w:sz w:val="20"/>
          <w:szCs w:val="20"/>
        </w:rPr>
        <w:t>However, training alone is insufficient for optimal crisis response. Organizational culture significantly influences how staff behave under pressure, their willingness to adhere to protocols, and their ability to collaborate effectively. A culture emphasizing communication, teamwork, adaptability, and proactive problem-solving fosters resilience and promotes a positive safety climate (Patel, Chatterjee, &amp; Singh, 2019).</w:t>
      </w:r>
    </w:p>
    <w:p w14:paraId="1A6545E0" w14:textId="77777777" w:rsidR="00417935" w:rsidRPr="00417935" w:rsidRDefault="00417935" w:rsidP="00417935">
      <w:pPr>
        <w:pStyle w:val="NormalWeb"/>
        <w:rPr>
          <w:sz w:val="20"/>
          <w:szCs w:val="20"/>
        </w:rPr>
      </w:pPr>
      <w:r w:rsidRPr="00417935">
        <w:rPr>
          <w:sz w:val="20"/>
          <w:szCs w:val="20"/>
        </w:rPr>
        <w:t xml:space="preserve">Evidence suggests that integrating training with culture development interventions produces superior outcomes compared to implementing either strategy alone. Organizations adopting this combined approach demonstrate faster response times, higher staff confidence, reduced errors, and enhanced operational efficiency during crises. </w:t>
      </w:r>
      <w:r w:rsidRPr="00417935">
        <w:rPr>
          <w:sz w:val="20"/>
          <w:szCs w:val="20"/>
        </w:rPr>
        <w:lastRenderedPageBreak/>
        <w:t>Moreover, such integration supports employee well-being by reducing stress, burnout, and uncertainty, which are common during emergency situations.</w:t>
      </w:r>
    </w:p>
    <w:p w14:paraId="3542FC81" w14:textId="646578A1" w:rsidR="00417935" w:rsidRPr="00417935" w:rsidRDefault="00417935" w:rsidP="00417935">
      <w:pPr>
        <w:pStyle w:val="NormalWeb"/>
        <w:rPr>
          <w:sz w:val="20"/>
          <w:szCs w:val="20"/>
          <w:rtl/>
        </w:rPr>
      </w:pPr>
      <w:r w:rsidRPr="00417935">
        <w:rPr>
          <w:sz w:val="20"/>
          <w:szCs w:val="20"/>
        </w:rPr>
        <w:t>Despite these benefits, several challenges remain. Sustaining regular training programs, overcoming resistance to cultural change, and measuring intangible outcomes such as morale and adaptability can be difficult. Additionally, variability in organizational structures, resources, and crisis contexts may limit generalizability of findings. Nevertheless, prioritizing both education and cultural initiatives is essential for building resilient healthcare and high-risk organizations capable of responding effectively to unexpected events.</w:t>
      </w:r>
    </w:p>
    <w:p w14:paraId="65DDBA40" w14:textId="77777777" w:rsidR="00417935" w:rsidRPr="00417935" w:rsidRDefault="00417935" w:rsidP="00417935">
      <w:pPr>
        <w:pStyle w:val="Heading2"/>
        <w:bidi w:val="0"/>
        <w:jc w:val="left"/>
        <w:rPr>
          <w:sz w:val="20"/>
          <w:szCs w:val="20"/>
        </w:rPr>
      </w:pPr>
      <w:r w:rsidRPr="00417935">
        <w:rPr>
          <w:rStyle w:val="Strong"/>
          <w:b/>
          <w:bCs/>
          <w:sz w:val="20"/>
          <w:szCs w:val="20"/>
        </w:rPr>
        <w:t>5. Conclusion</w:t>
      </w:r>
    </w:p>
    <w:p w14:paraId="063F1DD8" w14:textId="77777777" w:rsidR="00417935" w:rsidRPr="00417935" w:rsidRDefault="00417935" w:rsidP="00417935">
      <w:pPr>
        <w:pStyle w:val="NormalWeb"/>
        <w:rPr>
          <w:sz w:val="20"/>
          <w:szCs w:val="20"/>
        </w:rPr>
      </w:pPr>
      <w:r w:rsidRPr="00417935">
        <w:rPr>
          <w:sz w:val="20"/>
          <w:szCs w:val="20"/>
        </w:rPr>
        <w:t>Training and organizational culture development are essential components of effective crisis management in healthcare and other high-risk organizations. Structured educational programs, including simulations, drills, and continuous learning, improve staff knowledge, decision-making, coordination, and overall preparedness. Meanwhile, a strong organizational culture that emphasizes teamwork, communication, adaptability, and proactive problem-solving enhances resilience and ensures staff adhere to protocols under stress.</w:t>
      </w:r>
    </w:p>
    <w:p w14:paraId="3E688CDC" w14:textId="77777777" w:rsidR="00417935" w:rsidRPr="00417935" w:rsidRDefault="00417935" w:rsidP="00417935">
      <w:pPr>
        <w:pStyle w:val="NormalWeb"/>
        <w:rPr>
          <w:sz w:val="20"/>
          <w:szCs w:val="20"/>
        </w:rPr>
      </w:pPr>
      <w:r w:rsidRPr="00417935">
        <w:rPr>
          <w:sz w:val="20"/>
          <w:szCs w:val="20"/>
        </w:rPr>
        <w:t>Evidence indicates that the combination of training and culture-building interventions yields superior outcomes compared to either approach alone, resulting in faster response times, fewer errors, enhanced organizational efficiency, and improved staff well-being. Institutions that prioritize both education and cultural initiatives are better equipped to manage emergencies, mitigate risks, and maintain operational continuity during crises.</w:t>
      </w:r>
    </w:p>
    <w:p w14:paraId="4BF09FE6" w14:textId="77777777" w:rsidR="00417935" w:rsidRPr="00417935" w:rsidRDefault="00417935" w:rsidP="00417935">
      <w:pPr>
        <w:pStyle w:val="NormalWeb"/>
        <w:rPr>
          <w:sz w:val="20"/>
          <w:szCs w:val="20"/>
        </w:rPr>
      </w:pPr>
      <w:r w:rsidRPr="00417935">
        <w:rPr>
          <w:sz w:val="20"/>
          <w:szCs w:val="20"/>
        </w:rPr>
        <w:t>To strengthen crisis preparedness, healthcare and high-risk organizations should invest in continuous training programs and foster a culture of safety, adaptability, and shared responsibility. Future research should focus on developing standardized evaluation metrics to measure both the tangible and intangible impacts of training and culture interventions on crisis management effectiveness.</w:t>
      </w:r>
    </w:p>
    <w:p w14:paraId="26D95F08" w14:textId="224C1556" w:rsidR="000B200C" w:rsidRDefault="000B200C" w:rsidP="000B200C">
      <w:pPr>
        <w:spacing w:line="230" w:lineRule="auto"/>
        <w:jc w:val="both"/>
      </w:pPr>
    </w:p>
    <w:p w14:paraId="7C5B1466" w14:textId="3D7AD437" w:rsidR="000B200C" w:rsidRDefault="000B200C" w:rsidP="00620531">
      <w:pPr>
        <w:spacing w:line="230" w:lineRule="auto"/>
        <w:jc w:val="both"/>
      </w:pPr>
      <w:r>
        <w:rPr>
          <w:b/>
          <w:bCs/>
        </w:rPr>
        <w:t>References</w:t>
      </w:r>
      <w:r>
        <w:t xml:space="preserve"> </w:t>
      </w:r>
    </w:p>
    <w:tbl>
      <w:tblPr>
        <w:tblStyle w:val="TableGridLight"/>
        <w:tblW w:w="9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50"/>
        <w:gridCol w:w="8999"/>
      </w:tblGrid>
      <w:tr w:rsidR="000B200C" w14:paraId="68F07399" w14:textId="77777777" w:rsidTr="00620531">
        <w:tc>
          <w:tcPr>
            <w:tcW w:w="550" w:type="dxa"/>
          </w:tcPr>
          <w:p w14:paraId="4D2A9832" w14:textId="77777777" w:rsidR="000B200C" w:rsidRDefault="00992AEA" w:rsidP="00FB4B1C">
            <w:pPr>
              <w:jc w:val="both"/>
              <w:rPr>
                <w:lang w:bidi="fa-IR"/>
              </w:rPr>
            </w:pPr>
            <w:r>
              <w:t xml:space="preserve"> </w:t>
            </w:r>
            <w:r w:rsidR="000B200C">
              <w:t>[1]</w:t>
            </w:r>
          </w:p>
        </w:tc>
        <w:tc>
          <w:tcPr>
            <w:tcW w:w="8999" w:type="dxa"/>
          </w:tcPr>
          <w:p w14:paraId="761D9BD7" w14:textId="61F628B8" w:rsidR="000B200C" w:rsidRDefault="00620531" w:rsidP="00992AEA">
            <w:pPr>
              <w:jc w:val="both"/>
            </w:pPr>
            <w:r w:rsidRPr="00620531">
              <w:t>Aljabany, M., &amp; Aljahany, M. (2021). Use of in situ simulation to improve emergency department readiness for the COVID‑19 pandemic. Prehospital and Disaster Medicine, 36(5), 634–638. https://doi.org/10.1017/S1049023X21000628</w:t>
            </w:r>
          </w:p>
        </w:tc>
      </w:tr>
      <w:tr w:rsidR="000B200C" w14:paraId="234C32F8" w14:textId="77777777" w:rsidTr="00620531">
        <w:tc>
          <w:tcPr>
            <w:tcW w:w="550" w:type="dxa"/>
          </w:tcPr>
          <w:p w14:paraId="6B8FB562" w14:textId="77777777" w:rsidR="000B200C" w:rsidRDefault="000B200C" w:rsidP="00FB4B1C">
            <w:pPr>
              <w:jc w:val="both"/>
              <w:rPr>
                <w:lang w:bidi="fa-IR"/>
              </w:rPr>
            </w:pPr>
            <w:r>
              <w:t>[2]</w:t>
            </w:r>
          </w:p>
        </w:tc>
        <w:tc>
          <w:tcPr>
            <w:tcW w:w="8999" w:type="dxa"/>
          </w:tcPr>
          <w:p w14:paraId="032E53A9" w14:textId="60E6D8C5" w:rsidR="000B200C" w:rsidRDefault="00620531" w:rsidP="00FB4B1C">
            <w:pPr>
              <w:jc w:val="both"/>
              <w:rPr>
                <w:lang w:bidi="fa-IR"/>
              </w:rPr>
            </w:pPr>
            <w:r w:rsidRPr="00620531">
              <w:t>Alqahtani, J., Namnqani, N., Nassar, G., Alamri, A., Almustafa, Y., Bin Saeed, N., … Alali, M. (2024). Establishing a training standard for family medicine practitioners in healthcare emergency preparedness and crisis communication in Saudi Arabia. Journal of International Crisis &amp; Risk Communication Research, 7(S10), 552–566.</w:t>
            </w:r>
          </w:p>
        </w:tc>
      </w:tr>
      <w:tr w:rsidR="000B200C" w14:paraId="31051F0B" w14:textId="77777777" w:rsidTr="00620531">
        <w:tc>
          <w:tcPr>
            <w:tcW w:w="550" w:type="dxa"/>
          </w:tcPr>
          <w:p w14:paraId="3D4C0CE4" w14:textId="77777777" w:rsidR="000B200C" w:rsidRDefault="000B200C" w:rsidP="00FB4B1C">
            <w:pPr>
              <w:jc w:val="both"/>
            </w:pPr>
            <w:r>
              <w:t>[3]</w:t>
            </w:r>
          </w:p>
        </w:tc>
        <w:tc>
          <w:tcPr>
            <w:tcW w:w="8999" w:type="dxa"/>
          </w:tcPr>
          <w:p w14:paraId="29976B89" w14:textId="1DEEEA29" w:rsidR="000B200C" w:rsidRDefault="00620531" w:rsidP="00992AEA">
            <w:pPr>
              <w:autoSpaceDE w:val="0"/>
              <w:autoSpaceDN w:val="0"/>
              <w:adjustRightInd w:val="0"/>
            </w:pPr>
            <w:r w:rsidRPr="00620531">
              <w:t xml:space="preserve">Alqahtani, F., Alhowimel, A., &amp; Alshammari, T. (2021). Effectiveness of simulation-based training in emergency preparedness: A systematic review. Journal of Emergency Management, 19(4), 295–305. </w:t>
            </w:r>
            <w:hyperlink r:id="rId8" w:history="1">
              <w:r w:rsidRPr="00D3088D">
                <w:rPr>
                  <w:rStyle w:val="Hyperlink"/>
                </w:rPr>
                <w:t>https://doi.org/10.5055/jem.2021.0621</w:t>
              </w:r>
            </w:hyperlink>
          </w:p>
        </w:tc>
      </w:tr>
      <w:tr w:rsidR="00620531" w14:paraId="4A73F91F" w14:textId="77777777" w:rsidTr="00620531">
        <w:tc>
          <w:tcPr>
            <w:tcW w:w="550" w:type="dxa"/>
          </w:tcPr>
          <w:p w14:paraId="28180622" w14:textId="5A65BFB5" w:rsidR="00620531" w:rsidRDefault="00620531" w:rsidP="00620531">
            <w:pPr>
              <w:jc w:val="both"/>
            </w:pPr>
            <w:r>
              <w:t>[4]</w:t>
            </w:r>
          </w:p>
        </w:tc>
        <w:tc>
          <w:tcPr>
            <w:tcW w:w="8999" w:type="dxa"/>
          </w:tcPr>
          <w:p w14:paraId="3CB01720" w14:textId="45763696" w:rsidR="00620531" w:rsidRPr="00620531" w:rsidRDefault="00620531" w:rsidP="00620531">
            <w:pPr>
              <w:autoSpaceDE w:val="0"/>
              <w:autoSpaceDN w:val="0"/>
              <w:adjustRightInd w:val="0"/>
            </w:pPr>
            <w:r w:rsidRPr="00620531">
              <w:t>Alrabie, T., Brown, M., Rice, B., &amp; Marsh, L. (2025). Disaster preparedness and response among healthcare professionals during the Hajj: A systematic literature review. Healthcare, 13(13), 1571. https://doi.org/10.3390/healthcare13131571</w:t>
            </w:r>
          </w:p>
        </w:tc>
      </w:tr>
      <w:tr w:rsidR="00620531" w14:paraId="2A250AF0" w14:textId="77777777" w:rsidTr="00620531">
        <w:tc>
          <w:tcPr>
            <w:tcW w:w="550" w:type="dxa"/>
          </w:tcPr>
          <w:p w14:paraId="18F15F8D" w14:textId="7AAEC6C6" w:rsidR="00620531" w:rsidRDefault="00620531" w:rsidP="00620531">
            <w:pPr>
              <w:jc w:val="both"/>
            </w:pPr>
            <w:r>
              <w:t>[5]</w:t>
            </w:r>
          </w:p>
        </w:tc>
        <w:tc>
          <w:tcPr>
            <w:tcW w:w="8999" w:type="dxa"/>
          </w:tcPr>
          <w:p w14:paraId="7EEB7644" w14:textId="77D91319" w:rsidR="00620531" w:rsidRPr="00620531" w:rsidRDefault="00620531" w:rsidP="00620531">
            <w:pPr>
              <w:autoSpaceDE w:val="0"/>
              <w:autoSpaceDN w:val="0"/>
              <w:adjustRightInd w:val="0"/>
            </w:pPr>
            <w:r w:rsidRPr="00620531">
              <w:t>Carbonara, N., Tippong, D., Petrovic, S., &amp; Akbari, V. (2024). Resilience of hospitals in an age of disruptions: A systematic review. European Journal of Operational Research, 301(1), 1–17.</w:t>
            </w:r>
          </w:p>
        </w:tc>
      </w:tr>
      <w:tr w:rsidR="00620531" w14:paraId="0045F4E5" w14:textId="77777777" w:rsidTr="00620531">
        <w:tc>
          <w:tcPr>
            <w:tcW w:w="550" w:type="dxa"/>
          </w:tcPr>
          <w:p w14:paraId="5501F377" w14:textId="53099E19" w:rsidR="00620531" w:rsidRDefault="00620531" w:rsidP="00620531">
            <w:pPr>
              <w:jc w:val="both"/>
            </w:pPr>
            <w:r>
              <w:t>[6]</w:t>
            </w:r>
          </w:p>
        </w:tc>
        <w:tc>
          <w:tcPr>
            <w:tcW w:w="8999" w:type="dxa"/>
          </w:tcPr>
          <w:p w14:paraId="46E5FDC9" w14:textId="267487CD" w:rsidR="00620531" w:rsidRPr="00620531" w:rsidRDefault="00620531" w:rsidP="00620531">
            <w:pPr>
              <w:autoSpaceDE w:val="0"/>
              <w:autoSpaceDN w:val="0"/>
              <w:adjustRightInd w:val="0"/>
            </w:pPr>
            <w:r w:rsidRPr="00620531">
              <w:t xml:space="preserve">Hale, A., Gonzalez, V., &amp; Drennan, L. (2020). Organizational culture and crisis management: Lessons from healthcare. Safety Science, 130, 104888. </w:t>
            </w:r>
            <w:hyperlink r:id="rId9" w:history="1">
              <w:r w:rsidRPr="00D3088D">
                <w:rPr>
                  <w:rStyle w:val="Hyperlink"/>
                </w:rPr>
                <w:t>https://doi.org/10.1016/j.ssci.2020.104888</w:t>
              </w:r>
            </w:hyperlink>
          </w:p>
        </w:tc>
      </w:tr>
      <w:tr w:rsidR="00620531" w14:paraId="229504B3" w14:textId="77777777" w:rsidTr="00620531">
        <w:tc>
          <w:tcPr>
            <w:tcW w:w="550" w:type="dxa"/>
          </w:tcPr>
          <w:p w14:paraId="5FCEEA0A" w14:textId="4CC0D88E" w:rsidR="00620531" w:rsidRDefault="00620531" w:rsidP="00620531">
            <w:pPr>
              <w:jc w:val="both"/>
            </w:pPr>
            <w:r>
              <w:t>[7]</w:t>
            </w:r>
          </w:p>
        </w:tc>
        <w:tc>
          <w:tcPr>
            <w:tcW w:w="8999" w:type="dxa"/>
          </w:tcPr>
          <w:p w14:paraId="1FF55A46" w14:textId="04451FC0" w:rsidR="00620531" w:rsidRPr="00620531" w:rsidRDefault="00620531" w:rsidP="00620531">
            <w:pPr>
              <w:autoSpaceDE w:val="0"/>
              <w:autoSpaceDN w:val="0"/>
              <w:adjustRightInd w:val="0"/>
            </w:pPr>
            <w:r w:rsidRPr="00620531">
              <w:t>Mahdi, S. S., &amp; Golshan, M. (2023). Systematic review on the current state of disaster preparation exercise: Simulation exercises (SimEx). [Journal Name]. Retrieved from https://www.ncbi.nlm.nih.gov/pmc/articles/PMC10206538/</w:t>
            </w:r>
          </w:p>
        </w:tc>
      </w:tr>
      <w:tr w:rsidR="00620531" w14:paraId="5265BBB9" w14:textId="77777777" w:rsidTr="00620531">
        <w:tc>
          <w:tcPr>
            <w:tcW w:w="550" w:type="dxa"/>
          </w:tcPr>
          <w:p w14:paraId="1A02907A" w14:textId="12C885D8" w:rsidR="00620531" w:rsidRDefault="00620531" w:rsidP="00620531">
            <w:pPr>
              <w:jc w:val="both"/>
            </w:pPr>
            <w:r>
              <w:lastRenderedPageBreak/>
              <w:t>[8]</w:t>
            </w:r>
          </w:p>
        </w:tc>
        <w:tc>
          <w:tcPr>
            <w:tcW w:w="8999" w:type="dxa"/>
          </w:tcPr>
          <w:p w14:paraId="6F6D626C" w14:textId="1F76E565" w:rsidR="00620531" w:rsidRPr="00620531" w:rsidRDefault="00620531" w:rsidP="00620531">
            <w:pPr>
              <w:autoSpaceDE w:val="0"/>
              <w:autoSpaceDN w:val="0"/>
              <w:adjustRightInd w:val="0"/>
            </w:pPr>
            <w:r w:rsidRPr="00620531">
              <w:t xml:space="preserve">Patel, R., Chatterjee, P., &amp; Singh, S. (2019). Role of organizational culture in disaster preparedness: Evidence from hospitals. International Journal of Disaster Risk Reduction, 37, 101173. </w:t>
            </w:r>
            <w:hyperlink r:id="rId10" w:history="1">
              <w:r w:rsidRPr="00D3088D">
                <w:rPr>
                  <w:rStyle w:val="Hyperlink"/>
                </w:rPr>
                <w:t>https://doi.org/10.1016/j.ijdrr.2019.101173</w:t>
              </w:r>
            </w:hyperlink>
          </w:p>
        </w:tc>
      </w:tr>
      <w:tr w:rsidR="00620531" w14:paraId="00BC0C65" w14:textId="77777777" w:rsidTr="00620531">
        <w:tc>
          <w:tcPr>
            <w:tcW w:w="550" w:type="dxa"/>
          </w:tcPr>
          <w:p w14:paraId="0A360893" w14:textId="19D5C441" w:rsidR="00620531" w:rsidRDefault="00620531" w:rsidP="00620531">
            <w:pPr>
              <w:jc w:val="both"/>
            </w:pPr>
            <w:r>
              <w:t>[9]</w:t>
            </w:r>
          </w:p>
        </w:tc>
        <w:tc>
          <w:tcPr>
            <w:tcW w:w="8999" w:type="dxa"/>
          </w:tcPr>
          <w:p w14:paraId="55F3B037" w14:textId="214C7938" w:rsidR="00620531" w:rsidRPr="00620531" w:rsidRDefault="00620531" w:rsidP="00620531">
            <w:pPr>
              <w:autoSpaceDE w:val="0"/>
              <w:autoSpaceDN w:val="0"/>
              <w:adjustRightInd w:val="0"/>
            </w:pPr>
            <w:r w:rsidRPr="00620531">
              <w:t>Singh, P. (2025). Exploring challenges and opportunities in hospital disaster preparedness: Perspectives from hospital incident command system (HICS) members. Risk Management and Healthcare Policy.</w:t>
            </w:r>
          </w:p>
        </w:tc>
      </w:tr>
      <w:tr w:rsidR="00620531" w14:paraId="43265DA5" w14:textId="77777777" w:rsidTr="00620531">
        <w:tc>
          <w:tcPr>
            <w:tcW w:w="550" w:type="dxa"/>
          </w:tcPr>
          <w:p w14:paraId="71A399EA" w14:textId="0B65AA2E" w:rsidR="00620531" w:rsidRDefault="00620531" w:rsidP="00620531">
            <w:pPr>
              <w:jc w:val="both"/>
            </w:pPr>
            <w:r>
              <w:t>[10]</w:t>
            </w:r>
          </w:p>
        </w:tc>
        <w:tc>
          <w:tcPr>
            <w:tcW w:w="8999" w:type="dxa"/>
          </w:tcPr>
          <w:p w14:paraId="2C549008" w14:textId="347B18F9" w:rsidR="00620531" w:rsidRPr="00620531" w:rsidRDefault="00620531" w:rsidP="00620531">
            <w:pPr>
              <w:autoSpaceDE w:val="0"/>
              <w:autoSpaceDN w:val="0"/>
              <w:adjustRightInd w:val="0"/>
            </w:pPr>
            <w:r w:rsidRPr="00620531">
              <w:t xml:space="preserve">Thim, S., Taxis, K., &amp; Trudeau, P. (2022). Simulation‑based emergency team training in pediatrics: A systematic review. Pediatrics, 150(5), e2022058117. </w:t>
            </w:r>
            <w:hyperlink r:id="rId11" w:history="1">
              <w:r w:rsidRPr="00D3088D">
                <w:rPr>
                  <w:rStyle w:val="Hyperlink"/>
                </w:rPr>
                <w:t>https://doi.org/10.1542/peds.2022-058117</w:t>
              </w:r>
            </w:hyperlink>
          </w:p>
        </w:tc>
      </w:tr>
      <w:tr w:rsidR="00620531" w14:paraId="139E1596" w14:textId="77777777" w:rsidTr="00620531">
        <w:tc>
          <w:tcPr>
            <w:tcW w:w="550" w:type="dxa"/>
          </w:tcPr>
          <w:p w14:paraId="239AD903" w14:textId="3CB3CD26" w:rsidR="00620531" w:rsidRDefault="00620531" w:rsidP="00620531">
            <w:pPr>
              <w:jc w:val="both"/>
            </w:pPr>
            <w:r>
              <w:t>[11]</w:t>
            </w:r>
          </w:p>
        </w:tc>
        <w:tc>
          <w:tcPr>
            <w:tcW w:w="8999" w:type="dxa"/>
          </w:tcPr>
          <w:p w14:paraId="06841173" w14:textId="6BE8DD5F" w:rsidR="00620531" w:rsidRPr="00620531" w:rsidRDefault="00620531" w:rsidP="00620531">
            <w:pPr>
              <w:autoSpaceDE w:val="0"/>
              <w:autoSpaceDN w:val="0"/>
              <w:adjustRightInd w:val="0"/>
            </w:pPr>
            <w:r w:rsidRPr="00620531">
              <w:t>Voicescu, G. T., &amp; others. (2025). Monitoring and evaluation in disaster management courses: Types of training and evaluation methods. BMC Medical Education, 25, Article 66xxx. https://doi.org/10.1186/s12909-025-06659-0</w:t>
            </w:r>
          </w:p>
        </w:tc>
      </w:tr>
    </w:tbl>
    <w:p w14:paraId="2C84AC49" w14:textId="77777777" w:rsidR="000B200C" w:rsidRDefault="000B200C" w:rsidP="00992AEA">
      <w:pPr>
        <w:spacing w:line="230" w:lineRule="auto"/>
        <w:jc w:val="both"/>
        <w:sectPr w:rsidR="000B200C" w:rsidSect="00082716">
          <w:headerReference w:type="default" r:id="rId12"/>
          <w:footerReference w:type="even" r:id="rId13"/>
          <w:footerReference w:type="default" r:id="rId14"/>
          <w:type w:val="continuous"/>
          <w:pgSz w:w="11907" w:h="16840"/>
          <w:pgMar w:top="1530" w:right="1418" w:bottom="1418" w:left="1134" w:header="709" w:footer="709" w:gutter="0"/>
          <w:cols w:space="720"/>
        </w:sectPr>
      </w:pPr>
    </w:p>
    <w:p w14:paraId="78D22457" w14:textId="77777777" w:rsidR="0098445B" w:rsidRDefault="0098445B" w:rsidP="00992AEA">
      <w:pPr>
        <w:spacing w:line="230" w:lineRule="auto"/>
        <w:jc w:val="both"/>
      </w:pPr>
    </w:p>
    <w:p w14:paraId="2AA3ECC0" w14:textId="6A86BECD" w:rsidR="00992AEA" w:rsidRDefault="00992AEA" w:rsidP="00992AEA">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0FEE7" w14:textId="77777777" w:rsidR="00BC4C81" w:rsidRDefault="00BC4C81">
      <w:r>
        <w:separator/>
      </w:r>
    </w:p>
  </w:endnote>
  <w:endnote w:type="continuationSeparator" w:id="0">
    <w:p w14:paraId="1E46A713" w14:textId="77777777" w:rsidR="00BC4C81" w:rsidRDefault="00BC4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altName w:val="Times New Roman"/>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altName w:val="Arial"/>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92116" w14:textId="0B5DB4AA"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BB101E">
      <w:rPr>
        <w:caps/>
      </w:rPr>
      <w:t>5</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3FAEBE" w14:textId="77777777" w:rsidR="00BC4C81" w:rsidRDefault="00BC4C81" w:rsidP="0010114F">
      <w:pPr>
        <w:bidi/>
      </w:pPr>
      <w:r>
        <w:separator/>
      </w:r>
    </w:p>
  </w:footnote>
  <w:footnote w:type="continuationSeparator" w:id="0">
    <w:p w14:paraId="76C3F89A" w14:textId="77777777" w:rsidR="00BC4C81" w:rsidRDefault="00BC4C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2B0E6D" w14:textId="07F36AE0" w:rsidR="00931BA1" w:rsidRDefault="008A6A64" w:rsidP="00AA30C4">
    <w:pPr>
      <w:pStyle w:val="Header"/>
    </w:pPr>
    <w:r w:rsidRPr="008A6A64">
      <w:rPr>
        <w:noProof/>
        <w:rtl/>
        <w:lang w:bidi="fa-IR"/>
      </w:rPr>
      <w:drawing>
        <wp:anchor distT="0" distB="0" distL="114300" distR="114300" simplePos="0" relativeHeight="251658240" behindDoc="1" locked="0" layoutInCell="1" allowOverlap="1" wp14:anchorId="2057D1F1" wp14:editId="7895E503">
          <wp:simplePos x="0" y="0"/>
          <wp:positionH relativeFrom="page">
            <wp:align>right</wp:align>
          </wp:positionH>
          <wp:positionV relativeFrom="paragraph">
            <wp:posOffset>-221615</wp:posOffset>
          </wp:positionV>
          <wp:extent cx="5940425" cy="771525"/>
          <wp:effectExtent l="0" t="0" r="3175" b="9525"/>
          <wp:wrapTight wrapText="bothSides">
            <wp:wrapPolygon edited="0">
              <wp:start x="0" y="0"/>
              <wp:lineTo x="0" y="21333"/>
              <wp:lineTo x="21542" y="21333"/>
              <wp:lineTo x="21542" y="0"/>
              <wp:lineTo x="0" y="0"/>
            </wp:wrapPolygon>
          </wp:wrapTight>
          <wp:docPr id="30261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1074" name=""/>
                  <pic:cNvPicPr/>
                </pic:nvPicPr>
                <pic:blipFill>
                  <a:blip r:embed="rId1">
                    <a:extLst>
                      <a:ext uri="{28A0092B-C50C-407E-A947-70E740481C1C}">
                        <a14:useLocalDpi xmlns:a14="http://schemas.microsoft.com/office/drawing/2010/main" val="0"/>
                      </a:ext>
                    </a:extLst>
                  </a:blip>
                  <a:stretch>
                    <a:fillRect/>
                  </a:stretch>
                </pic:blipFill>
                <pic:spPr>
                  <a:xfrm>
                    <a:off x="0" y="0"/>
                    <a:ext cx="5940425" cy="77152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944094"/>
    <w:multiLevelType w:val="multilevel"/>
    <w:tmpl w:val="65C23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8F5BD1"/>
    <w:multiLevelType w:val="multilevel"/>
    <w:tmpl w:val="54D03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A7124CA"/>
    <w:multiLevelType w:val="multilevel"/>
    <w:tmpl w:val="39B89C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8D17E2"/>
    <w:multiLevelType w:val="multilevel"/>
    <w:tmpl w:val="012E9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4"/>
  </w:num>
  <w:num w:numId="3">
    <w:abstractNumId w:val="18"/>
  </w:num>
  <w:num w:numId="4">
    <w:abstractNumId w:val="0"/>
  </w:num>
  <w:num w:numId="5">
    <w:abstractNumId w:val="7"/>
  </w:num>
  <w:num w:numId="6">
    <w:abstractNumId w:val="15"/>
  </w:num>
  <w:num w:numId="7">
    <w:abstractNumId w:val="1"/>
  </w:num>
  <w:num w:numId="8">
    <w:abstractNumId w:val="11"/>
  </w:num>
  <w:num w:numId="9">
    <w:abstractNumId w:val="14"/>
  </w:num>
  <w:num w:numId="10">
    <w:abstractNumId w:val="2"/>
  </w:num>
  <w:num w:numId="11">
    <w:abstractNumId w:val="10"/>
  </w:num>
  <w:num w:numId="12">
    <w:abstractNumId w:val="3"/>
  </w:num>
  <w:num w:numId="13">
    <w:abstractNumId w:val="13"/>
  </w:num>
  <w:num w:numId="14">
    <w:abstractNumId w:val="16"/>
  </w:num>
  <w:num w:numId="15">
    <w:abstractNumId w:val="12"/>
  </w:num>
  <w:num w:numId="16">
    <w:abstractNumId w:val="17"/>
  </w:num>
  <w:num w:numId="17">
    <w:abstractNumId w:val="6"/>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173D0"/>
    <w:rsid w:val="000223BA"/>
    <w:rsid w:val="00023E17"/>
    <w:rsid w:val="0002405D"/>
    <w:rsid w:val="0002571C"/>
    <w:rsid w:val="000304FB"/>
    <w:rsid w:val="00031EC5"/>
    <w:rsid w:val="000329D0"/>
    <w:rsid w:val="00035264"/>
    <w:rsid w:val="00040DAF"/>
    <w:rsid w:val="00046639"/>
    <w:rsid w:val="000474F1"/>
    <w:rsid w:val="00047678"/>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45E8F"/>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05CE1"/>
    <w:rsid w:val="00411648"/>
    <w:rsid w:val="00411E75"/>
    <w:rsid w:val="004141BB"/>
    <w:rsid w:val="004159D6"/>
    <w:rsid w:val="00416215"/>
    <w:rsid w:val="00417935"/>
    <w:rsid w:val="0042085B"/>
    <w:rsid w:val="00421DD4"/>
    <w:rsid w:val="00423008"/>
    <w:rsid w:val="00423C12"/>
    <w:rsid w:val="00423FC4"/>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0A85"/>
    <w:rsid w:val="00491D7C"/>
    <w:rsid w:val="0049225B"/>
    <w:rsid w:val="00495F34"/>
    <w:rsid w:val="004A2325"/>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48C2"/>
    <w:rsid w:val="004F672C"/>
    <w:rsid w:val="005057FC"/>
    <w:rsid w:val="00505D8B"/>
    <w:rsid w:val="00507432"/>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531"/>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83BCE"/>
    <w:rsid w:val="00690695"/>
    <w:rsid w:val="0069162F"/>
    <w:rsid w:val="00693864"/>
    <w:rsid w:val="00694FA3"/>
    <w:rsid w:val="00696656"/>
    <w:rsid w:val="006A10F4"/>
    <w:rsid w:val="006A2DF0"/>
    <w:rsid w:val="006A3018"/>
    <w:rsid w:val="006A371A"/>
    <w:rsid w:val="006B3E69"/>
    <w:rsid w:val="006B6E95"/>
    <w:rsid w:val="006C09E5"/>
    <w:rsid w:val="006C3E5A"/>
    <w:rsid w:val="006C6FA5"/>
    <w:rsid w:val="006C7784"/>
    <w:rsid w:val="006D035D"/>
    <w:rsid w:val="006D106C"/>
    <w:rsid w:val="006D18F6"/>
    <w:rsid w:val="006D62BD"/>
    <w:rsid w:val="006D65F1"/>
    <w:rsid w:val="006D6DCA"/>
    <w:rsid w:val="006E0D01"/>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11E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37394"/>
    <w:rsid w:val="00840213"/>
    <w:rsid w:val="00844E1E"/>
    <w:rsid w:val="00845DF9"/>
    <w:rsid w:val="0084674C"/>
    <w:rsid w:val="0085034F"/>
    <w:rsid w:val="008513C0"/>
    <w:rsid w:val="00851F46"/>
    <w:rsid w:val="0085319E"/>
    <w:rsid w:val="0085474F"/>
    <w:rsid w:val="00856157"/>
    <w:rsid w:val="00860961"/>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6A64"/>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77D07"/>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30CE2"/>
    <w:rsid w:val="00A32D44"/>
    <w:rsid w:val="00A405D7"/>
    <w:rsid w:val="00A41B25"/>
    <w:rsid w:val="00A42B1C"/>
    <w:rsid w:val="00A434F8"/>
    <w:rsid w:val="00A456BB"/>
    <w:rsid w:val="00A475FE"/>
    <w:rsid w:val="00A47F51"/>
    <w:rsid w:val="00A502C1"/>
    <w:rsid w:val="00A509D4"/>
    <w:rsid w:val="00A51D6F"/>
    <w:rsid w:val="00A57167"/>
    <w:rsid w:val="00A61E53"/>
    <w:rsid w:val="00A63A1E"/>
    <w:rsid w:val="00A669D2"/>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69C"/>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101E"/>
    <w:rsid w:val="00BB48F9"/>
    <w:rsid w:val="00BB773E"/>
    <w:rsid w:val="00BC43AC"/>
    <w:rsid w:val="00BC4C81"/>
    <w:rsid w:val="00BC7208"/>
    <w:rsid w:val="00BC7950"/>
    <w:rsid w:val="00BD0793"/>
    <w:rsid w:val="00BD37AC"/>
    <w:rsid w:val="00BD614A"/>
    <w:rsid w:val="00BD6CE5"/>
    <w:rsid w:val="00BE2124"/>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CF4C63"/>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77F8C"/>
    <w:rsid w:val="00D818D5"/>
    <w:rsid w:val="00D81D0B"/>
    <w:rsid w:val="00D81E2B"/>
    <w:rsid w:val="00D82DFF"/>
    <w:rsid w:val="00D9071E"/>
    <w:rsid w:val="00D9168A"/>
    <w:rsid w:val="00D942E6"/>
    <w:rsid w:val="00D942F7"/>
    <w:rsid w:val="00D972C0"/>
    <w:rsid w:val="00DA12A0"/>
    <w:rsid w:val="00DA2E27"/>
    <w:rsid w:val="00DA3E17"/>
    <w:rsid w:val="00DA49C8"/>
    <w:rsid w:val="00DA5D61"/>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10C4"/>
    <w:rsid w:val="00E12090"/>
    <w:rsid w:val="00E13A68"/>
    <w:rsid w:val="00E219D8"/>
    <w:rsid w:val="00E22DF8"/>
    <w:rsid w:val="00E23BB1"/>
    <w:rsid w:val="00E32838"/>
    <w:rsid w:val="00E32CF3"/>
    <w:rsid w:val="00E4005D"/>
    <w:rsid w:val="00E40B9F"/>
    <w:rsid w:val="00E437B3"/>
    <w:rsid w:val="00E450F5"/>
    <w:rsid w:val="00E503B0"/>
    <w:rsid w:val="00E50AA5"/>
    <w:rsid w:val="00E556DA"/>
    <w:rsid w:val="00E6095A"/>
    <w:rsid w:val="00E67202"/>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uiPriority w:val="22"/>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NormalWeb">
    <w:name w:val="Normal (Web)"/>
    <w:basedOn w:val="Normal"/>
    <w:uiPriority w:val="99"/>
    <w:unhideWhenUsed/>
    <w:rsid w:val="00E67202"/>
    <w:pPr>
      <w:spacing w:before="100" w:beforeAutospacing="1" w:after="100" w:afterAutospacing="1"/>
    </w:pPr>
    <w:rPr>
      <w:rFonts w:cs="Times New Roman"/>
      <w:noProof w:val="0"/>
      <w:sz w:val="24"/>
      <w:szCs w:val="24"/>
      <w:lang w:bidi="fa-IR"/>
    </w:rPr>
  </w:style>
  <w:style w:type="table" w:styleId="TableGridLight">
    <w:name w:val="Grid Table Light"/>
    <w:basedOn w:val="TableNormal"/>
    <w:uiPriority w:val="40"/>
    <w:rsid w:val="006205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2334">
      <w:bodyDiv w:val="1"/>
      <w:marLeft w:val="0"/>
      <w:marRight w:val="0"/>
      <w:marTop w:val="0"/>
      <w:marBottom w:val="0"/>
      <w:divBdr>
        <w:top w:val="none" w:sz="0" w:space="0" w:color="auto"/>
        <w:left w:val="none" w:sz="0" w:space="0" w:color="auto"/>
        <w:bottom w:val="none" w:sz="0" w:space="0" w:color="auto"/>
        <w:right w:val="none" w:sz="0" w:space="0" w:color="auto"/>
      </w:divBdr>
    </w:div>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209533229">
      <w:bodyDiv w:val="1"/>
      <w:marLeft w:val="0"/>
      <w:marRight w:val="0"/>
      <w:marTop w:val="0"/>
      <w:marBottom w:val="0"/>
      <w:divBdr>
        <w:top w:val="none" w:sz="0" w:space="0" w:color="auto"/>
        <w:left w:val="none" w:sz="0" w:space="0" w:color="auto"/>
        <w:bottom w:val="none" w:sz="0" w:space="0" w:color="auto"/>
        <w:right w:val="none" w:sz="0" w:space="0" w:color="auto"/>
      </w:divBdr>
    </w:div>
    <w:div w:id="272787089">
      <w:bodyDiv w:val="1"/>
      <w:marLeft w:val="0"/>
      <w:marRight w:val="0"/>
      <w:marTop w:val="0"/>
      <w:marBottom w:val="0"/>
      <w:divBdr>
        <w:top w:val="none" w:sz="0" w:space="0" w:color="auto"/>
        <w:left w:val="none" w:sz="0" w:space="0" w:color="auto"/>
        <w:bottom w:val="none" w:sz="0" w:space="0" w:color="auto"/>
        <w:right w:val="none" w:sz="0" w:space="0" w:color="auto"/>
      </w:divBdr>
    </w:div>
    <w:div w:id="314919002">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35636719">
      <w:bodyDiv w:val="1"/>
      <w:marLeft w:val="0"/>
      <w:marRight w:val="0"/>
      <w:marTop w:val="0"/>
      <w:marBottom w:val="0"/>
      <w:divBdr>
        <w:top w:val="none" w:sz="0" w:space="0" w:color="auto"/>
        <w:left w:val="none" w:sz="0" w:space="0" w:color="auto"/>
        <w:bottom w:val="none" w:sz="0" w:space="0" w:color="auto"/>
        <w:right w:val="none" w:sz="0" w:space="0" w:color="auto"/>
      </w:divBdr>
    </w:div>
    <w:div w:id="447549192">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35431118">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7189300">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891307518">
      <w:bodyDiv w:val="1"/>
      <w:marLeft w:val="0"/>
      <w:marRight w:val="0"/>
      <w:marTop w:val="0"/>
      <w:marBottom w:val="0"/>
      <w:divBdr>
        <w:top w:val="none" w:sz="0" w:space="0" w:color="auto"/>
        <w:left w:val="none" w:sz="0" w:space="0" w:color="auto"/>
        <w:bottom w:val="none" w:sz="0" w:space="0" w:color="auto"/>
        <w:right w:val="none" w:sz="0" w:space="0" w:color="auto"/>
      </w:divBdr>
    </w:div>
    <w:div w:id="937755591">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599482">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07990551">
      <w:bodyDiv w:val="1"/>
      <w:marLeft w:val="0"/>
      <w:marRight w:val="0"/>
      <w:marTop w:val="0"/>
      <w:marBottom w:val="0"/>
      <w:divBdr>
        <w:top w:val="none" w:sz="0" w:space="0" w:color="auto"/>
        <w:left w:val="none" w:sz="0" w:space="0" w:color="auto"/>
        <w:bottom w:val="none" w:sz="0" w:space="0" w:color="auto"/>
        <w:right w:val="none" w:sz="0" w:space="0" w:color="auto"/>
      </w:divBdr>
    </w:div>
    <w:div w:id="1423066919">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29446069">
      <w:bodyDiv w:val="1"/>
      <w:marLeft w:val="0"/>
      <w:marRight w:val="0"/>
      <w:marTop w:val="0"/>
      <w:marBottom w:val="0"/>
      <w:divBdr>
        <w:top w:val="none" w:sz="0" w:space="0" w:color="auto"/>
        <w:left w:val="none" w:sz="0" w:space="0" w:color="auto"/>
        <w:bottom w:val="none" w:sz="0" w:space="0" w:color="auto"/>
        <w:right w:val="none" w:sz="0" w:space="0" w:color="auto"/>
      </w:divBdr>
    </w:div>
    <w:div w:id="1586379332">
      <w:bodyDiv w:val="1"/>
      <w:marLeft w:val="0"/>
      <w:marRight w:val="0"/>
      <w:marTop w:val="0"/>
      <w:marBottom w:val="0"/>
      <w:divBdr>
        <w:top w:val="none" w:sz="0" w:space="0" w:color="auto"/>
        <w:left w:val="none" w:sz="0" w:space="0" w:color="auto"/>
        <w:bottom w:val="none" w:sz="0" w:space="0" w:color="auto"/>
        <w:right w:val="none" w:sz="0" w:space="0" w:color="auto"/>
      </w:divBdr>
    </w:div>
    <w:div w:id="1649355932">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03894391">
      <w:bodyDiv w:val="1"/>
      <w:marLeft w:val="0"/>
      <w:marRight w:val="0"/>
      <w:marTop w:val="0"/>
      <w:marBottom w:val="0"/>
      <w:divBdr>
        <w:top w:val="none" w:sz="0" w:space="0" w:color="auto"/>
        <w:left w:val="none" w:sz="0" w:space="0" w:color="auto"/>
        <w:bottom w:val="none" w:sz="0" w:space="0" w:color="auto"/>
        <w:right w:val="none" w:sz="0" w:space="0" w:color="auto"/>
      </w:divBdr>
    </w:div>
    <w:div w:id="1741711805">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48364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30113561">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1995529530">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5055/jem.2021.062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542/peds.2022-0581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1016/j.ijdrr.2019.101173" TargetMode="External"/><Relationship Id="rId4" Type="http://schemas.openxmlformats.org/officeDocument/2006/relationships/settings" Target="settings.xml"/><Relationship Id="rId9" Type="http://schemas.openxmlformats.org/officeDocument/2006/relationships/hyperlink" Target="https://doi.org/10.1016/j.ssci.2020.104888"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9B185-EA98-4D6F-86FC-B6D16EC19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5</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14113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Windows User</cp:lastModifiedBy>
  <cp:revision>9</cp:revision>
  <cp:lastPrinted>2007-05-16T03:26:00Z</cp:lastPrinted>
  <dcterms:created xsi:type="dcterms:W3CDTF">2025-11-16T05:43:00Z</dcterms:created>
  <dcterms:modified xsi:type="dcterms:W3CDTF">2025-11-28T15:29:00Z</dcterms:modified>
</cp:coreProperties>
</file>