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46B8" w14:textId="77777777" w:rsidR="00A35A8F" w:rsidRDefault="00A35A8F" w:rsidP="00A35A8F">
      <w:pPr>
        <w:rPr>
          <w:rFonts w:asciiTheme="majorBidi" w:hAnsiTheme="majorBidi" w:cstheme="majorBidi"/>
          <w:b/>
          <w:bCs/>
          <w:sz w:val="20"/>
          <w:szCs w:val="20"/>
        </w:rPr>
      </w:pPr>
      <w:bookmarkStart w:id="0" w:name="_Hlk217400351"/>
    </w:p>
    <w:p w14:paraId="62DBBBD9" w14:textId="43768050" w:rsidR="00FD1932" w:rsidRPr="00F91A51" w:rsidRDefault="00A35A8F" w:rsidP="00A35A8F">
      <w:pPr>
        <w:jc w:val="center"/>
        <w:rPr>
          <w:rFonts w:asciiTheme="majorBidi" w:hAnsiTheme="majorBidi" w:cstheme="majorBidi"/>
          <w:b/>
          <w:bCs/>
        </w:rPr>
      </w:pPr>
      <w:r w:rsidRPr="00F91A51">
        <w:rPr>
          <w:rFonts w:asciiTheme="majorBidi" w:hAnsiTheme="majorBidi" w:cstheme="majorBidi"/>
          <w:b/>
          <w:bCs/>
        </w:rPr>
        <w:t>Designing Antifragile Safety Trainings: The Role of Rapid Feedback, Scenario Writing, and learning from Near-Misses in Enhancing Safe Behaviors</w:t>
      </w:r>
    </w:p>
    <w:p w14:paraId="484E8EB2" w14:textId="77777777" w:rsidR="00A55077" w:rsidRDefault="00A55077" w:rsidP="00A35A8F">
      <w:pPr>
        <w:jc w:val="center"/>
        <w:rPr>
          <w:rFonts w:asciiTheme="majorBidi" w:hAnsiTheme="majorBidi" w:cstheme="majorBidi"/>
          <w:sz w:val="20"/>
          <w:szCs w:val="20"/>
        </w:rPr>
      </w:pPr>
    </w:p>
    <w:p w14:paraId="5297E87D" w14:textId="77777777" w:rsidR="00A55077" w:rsidRDefault="00A55077" w:rsidP="00A35A8F">
      <w:pPr>
        <w:jc w:val="center"/>
        <w:rPr>
          <w:rFonts w:asciiTheme="majorBidi" w:hAnsiTheme="majorBidi" w:cstheme="majorBidi"/>
          <w:sz w:val="20"/>
          <w:szCs w:val="20"/>
        </w:rPr>
      </w:pPr>
    </w:p>
    <w:p w14:paraId="2FE7FA8B" w14:textId="29C849D4" w:rsidR="00A55077" w:rsidRPr="00A55077" w:rsidRDefault="0000009B" w:rsidP="00A55077">
      <w:pPr>
        <w:bidi/>
        <w:spacing w:after="0" w:line="240" w:lineRule="auto"/>
        <w:jc w:val="center"/>
        <w:rPr>
          <w:rFonts w:ascii="Times New Roman" w:eastAsia="Times New Roman" w:hAnsi="Times New Roman" w:cs="Nazanin"/>
          <w:noProof/>
          <w:kern w:val="0"/>
          <w:sz w:val="28"/>
          <w:szCs w:val="36"/>
          <w14:ligatures w14:val="none"/>
        </w:rPr>
      </w:pPr>
      <w:r>
        <w:rPr>
          <w:rFonts w:ascii="Times New Roman" w:eastAsia="Times New Roman" w:hAnsi="Times New Roman" w:cs="Nazanin"/>
          <w:b/>
          <w:bCs/>
          <w:noProof/>
          <w:kern w:val="0"/>
          <w:sz w:val="20"/>
          <w:szCs w:val="20"/>
          <w14:ligatures w14:val="none"/>
        </w:rPr>
        <w:t>Aida Nejat</w:t>
      </w:r>
      <w:r w:rsidR="00243F84">
        <w:rPr>
          <w:rFonts w:ascii="Times New Roman" w:eastAsia="Times New Roman" w:hAnsi="Times New Roman" w:cs="Nazanin"/>
          <w:b/>
          <w:bCs/>
          <w:noProof/>
          <w:kern w:val="0"/>
          <w:sz w:val="20"/>
          <w:szCs w:val="20"/>
          <w14:ligatures w14:val="none"/>
        </w:rPr>
        <w:t>i</w:t>
      </w:r>
    </w:p>
    <w:p w14:paraId="71836FA0" w14:textId="18466C35" w:rsidR="00A55077" w:rsidRPr="00F91A51" w:rsidRDefault="0000009B" w:rsidP="00E9402A">
      <w:pPr>
        <w:bidi/>
        <w:spacing w:after="0" w:line="240" w:lineRule="auto"/>
        <w:jc w:val="center"/>
        <w:rPr>
          <w:rFonts w:ascii="Times New Roman" w:eastAsia="Times New Roman" w:hAnsi="Times New Roman" w:cs="Nazanin"/>
          <w:noProof/>
          <w:kern w:val="0"/>
          <w:sz w:val="20"/>
          <w:szCs w:val="20"/>
          <w14:ligatures w14:val="none"/>
        </w:rPr>
      </w:pPr>
      <w:bookmarkStart w:id="1" w:name="_Hlk218968699"/>
      <w:r w:rsidRPr="00F91A51">
        <w:rPr>
          <w:rFonts w:ascii="Times New Roman" w:eastAsia="Times New Roman" w:hAnsi="Times New Roman" w:cs="Nazanin"/>
          <w:noProof/>
          <w:kern w:val="0"/>
          <w:sz w:val="20"/>
          <w:szCs w:val="20"/>
          <w14:ligatures w14:val="none"/>
        </w:rPr>
        <w:t xml:space="preserve">Department of Chemical Engineering (and HSE Engineering), Abadan </w:t>
      </w:r>
      <w:r w:rsidR="00E9402A" w:rsidRPr="00F91A51">
        <w:rPr>
          <w:rFonts w:ascii="Times New Roman" w:eastAsia="Times New Roman" w:hAnsi="Times New Roman" w:cs="Nazanin"/>
          <w:noProof/>
          <w:kern w:val="0"/>
          <w:sz w:val="20"/>
          <w:szCs w:val="20"/>
          <w14:ligatures w14:val="none"/>
        </w:rPr>
        <w:t>Faculty of of Petroleum Engineering, Petroleum university of Technology, Abadan, Iran</w:t>
      </w:r>
      <w:r w:rsidR="00A55077" w:rsidRPr="00F91A51">
        <w:rPr>
          <w:rFonts w:ascii="Times New Roman" w:eastAsia="Times New Roman" w:hAnsi="Times New Roman" w:cs="Nazanin"/>
          <w:noProof/>
          <w:kern w:val="0"/>
          <w:sz w:val="20"/>
          <w:szCs w:val="20"/>
          <w:rtl/>
          <w14:ligatures w14:val="none"/>
        </w:rPr>
        <w:t xml:space="preserve"> </w:t>
      </w:r>
      <w:bookmarkEnd w:id="1"/>
    </w:p>
    <w:p w14:paraId="5A5E31C1" w14:textId="14D82828" w:rsidR="00A55077" w:rsidRPr="00A55077" w:rsidRDefault="00E9402A" w:rsidP="00A55077">
      <w:pPr>
        <w:bidi/>
        <w:spacing w:after="0" w:line="240" w:lineRule="auto"/>
        <w:jc w:val="center"/>
        <w:rPr>
          <w:rFonts w:ascii="Times New Roman" w:eastAsia="Times New Roman" w:hAnsi="Times New Roman" w:cs="Nazanin"/>
          <w:noProof/>
          <w:kern w:val="0"/>
          <w:sz w:val="28"/>
          <w:szCs w:val="36"/>
          <w14:ligatures w14:val="none"/>
        </w:rPr>
      </w:pPr>
      <w:r>
        <w:rPr>
          <w:rFonts w:ascii="Times New Roman" w:eastAsia="Times New Roman" w:hAnsi="Times New Roman" w:cs="Nazanin"/>
          <w:b/>
          <w:bCs/>
          <w:noProof/>
          <w:kern w:val="0"/>
          <w:sz w:val="20"/>
          <w:szCs w:val="20"/>
          <w14:ligatures w14:val="none"/>
        </w:rPr>
        <w:t>Ahmad Soltanzadeh</w:t>
      </w:r>
    </w:p>
    <w:p w14:paraId="6AA790DA" w14:textId="23574320" w:rsidR="00A55077" w:rsidRPr="006917B7" w:rsidRDefault="006917B7" w:rsidP="00A55077">
      <w:pPr>
        <w:bidi/>
        <w:spacing w:after="0" w:line="240" w:lineRule="auto"/>
        <w:jc w:val="center"/>
        <w:rPr>
          <w:rFonts w:ascii="Times New Roman" w:eastAsia="Times New Roman" w:hAnsi="Times New Roman" w:cs="Nazanin"/>
          <w:noProof/>
          <w:kern w:val="0"/>
          <w:sz w:val="20"/>
          <w:szCs w:val="20"/>
          <w14:ligatures w14:val="none"/>
        </w:rPr>
      </w:pPr>
      <w:r w:rsidRPr="006917B7">
        <w:rPr>
          <w:rFonts w:ascii="Times New Roman" w:eastAsia="Times New Roman" w:hAnsi="Times New Roman" w:cs="Nazanin"/>
          <w:noProof/>
          <w:kern w:val="0"/>
          <w:sz w:val="20"/>
          <w:szCs w:val="20"/>
          <w14:ligatures w14:val="none"/>
        </w:rPr>
        <w:t>Qom University of Medical Sciences</w:t>
      </w:r>
      <w:r w:rsidR="00A55077" w:rsidRPr="006917B7">
        <w:rPr>
          <w:rFonts w:ascii="Times New Roman" w:eastAsia="Times New Roman" w:hAnsi="Times New Roman" w:cs="Nazanin"/>
          <w:noProof/>
          <w:kern w:val="0"/>
          <w:sz w:val="20"/>
          <w:szCs w:val="20"/>
          <w:rtl/>
          <w14:ligatures w14:val="none"/>
        </w:rPr>
        <w:t xml:space="preserve"> </w:t>
      </w:r>
    </w:p>
    <w:p w14:paraId="396CEFEF" w14:textId="22EA17D0" w:rsidR="00A55077" w:rsidRPr="008B473B" w:rsidRDefault="008B473B" w:rsidP="00A55077">
      <w:pPr>
        <w:spacing w:after="0" w:line="240" w:lineRule="auto"/>
        <w:jc w:val="center"/>
        <w:rPr>
          <w:rFonts w:ascii="Times New Roman" w:eastAsia="Times New Roman" w:hAnsi="Times New Roman" w:cs="Nazanin"/>
          <w:b/>
          <w:bCs/>
          <w:noProof/>
          <w:kern w:val="0"/>
          <w:sz w:val="20"/>
          <w:szCs w:val="20"/>
          <w14:ligatures w14:val="none"/>
        </w:rPr>
      </w:pPr>
      <w:r w:rsidRPr="008B473B">
        <w:rPr>
          <w:rFonts w:ascii="Times New Roman" w:eastAsia="Times New Roman" w:hAnsi="Times New Roman" w:cs="Nazanin"/>
          <w:b/>
          <w:bCs/>
          <w:noProof/>
          <w:kern w:val="0"/>
          <w:sz w:val="20"/>
          <w:szCs w:val="20"/>
          <w14:ligatures w14:val="none"/>
        </w:rPr>
        <w:t>Soudabeh Nikmanesh</w:t>
      </w:r>
    </w:p>
    <w:p w14:paraId="233D7D84" w14:textId="5E0A7BA5" w:rsidR="00A55077" w:rsidRPr="00A55077" w:rsidRDefault="008B473B" w:rsidP="00A55077">
      <w:pPr>
        <w:bidi/>
        <w:spacing w:after="0" w:line="240" w:lineRule="auto"/>
        <w:jc w:val="center"/>
        <w:rPr>
          <w:rFonts w:ascii="Times New Roman" w:eastAsia="Times New Roman" w:hAnsi="Times New Roman" w:cs="Nazanin"/>
          <w:b/>
          <w:bCs/>
          <w:noProof/>
          <w:kern w:val="0"/>
          <w:sz w:val="20"/>
          <w:szCs w:val="20"/>
          <w14:ligatures w14:val="none"/>
        </w:rPr>
      </w:pPr>
      <w:r w:rsidRPr="00F91A51">
        <w:rPr>
          <w:rFonts w:ascii="Times New Roman" w:eastAsia="Times New Roman" w:hAnsi="Times New Roman" w:cs="Nazanin"/>
          <w:noProof/>
          <w:kern w:val="0"/>
          <w:sz w:val="20"/>
          <w:szCs w:val="20"/>
          <w14:ligatures w14:val="none"/>
        </w:rPr>
        <w:t>Department of Chemical Engineering (and HSE Engineering), Abadan Faculty of of Petroleum Engineering, Petroleum university of Technology, Abadan, Iran</w:t>
      </w:r>
      <w:r w:rsidRPr="00F91A51">
        <w:rPr>
          <w:rFonts w:ascii="Times New Roman" w:eastAsia="Times New Roman" w:hAnsi="Times New Roman" w:cs="Nazanin"/>
          <w:noProof/>
          <w:kern w:val="0"/>
          <w:sz w:val="20"/>
          <w:szCs w:val="20"/>
          <w:rtl/>
          <w14:ligatures w14:val="none"/>
        </w:rPr>
        <w:t xml:space="preserve"> </w:t>
      </w:r>
    </w:p>
    <w:p w14:paraId="0904F4B1" w14:textId="77777777" w:rsidR="00A55077" w:rsidRPr="00A55077" w:rsidRDefault="00A55077" w:rsidP="00A55077">
      <w:pPr>
        <w:keepNext/>
        <w:bidi/>
        <w:spacing w:after="0" w:line="240" w:lineRule="auto"/>
        <w:ind w:left="567" w:right="567"/>
        <w:jc w:val="both"/>
        <w:outlineLvl w:val="1"/>
        <w:rPr>
          <w:rFonts w:ascii="Times New Roman" w:eastAsia="Times New Roman" w:hAnsi="Times New Roman" w:cs="Nazanin"/>
          <w:b/>
          <w:bCs/>
          <w:noProof/>
          <w:kern w:val="0"/>
          <w:sz w:val="28"/>
          <w:szCs w:val="28"/>
          <w14:ligatures w14:val="none"/>
        </w:rPr>
      </w:pPr>
    </w:p>
    <w:p w14:paraId="1E2BE592" w14:textId="77777777" w:rsidR="00A55077" w:rsidRPr="0086501F" w:rsidRDefault="00A55077" w:rsidP="00A55077">
      <w:pPr>
        <w:keepNext/>
        <w:bidi/>
        <w:spacing w:after="0" w:line="240" w:lineRule="auto"/>
        <w:ind w:left="567" w:right="567"/>
        <w:jc w:val="right"/>
        <w:outlineLvl w:val="1"/>
        <w:rPr>
          <w:rFonts w:ascii="Times New Roman" w:eastAsia="Times New Roman" w:hAnsi="Times New Roman" w:cs="Nazanin"/>
          <w:b/>
          <w:bCs/>
          <w:noProof/>
          <w:kern w:val="0"/>
          <w:sz w:val="22"/>
          <w:szCs w:val="22"/>
          <w14:ligatures w14:val="none"/>
        </w:rPr>
      </w:pPr>
      <w:r w:rsidRPr="0086501F">
        <w:rPr>
          <w:rFonts w:ascii="Times New Roman" w:eastAsia="Times New Roman" w:hAnsi="Times New Roman" w:cs="Nazanin"/>
          <w:b/>
          <w:bCs/>
          <w:noProof/>
          <w:kern w:val="0"/>
          <w:sz w:val="22"/>
          <w:szCs w:val="22"/>
          <w14:ligatures w14:val="none"/>
        </w:rPr>
        <w:t>Abstract</w:t>
      </w:r>
    </w:p>
    <w:p w14:paraId="1512DF85" w14:textId="5ACAEB5E" w:rsidR="00A55077" w:rsidRPr="00A55077" w:rsidRDefault="00062963" w:rsidP="009F7908">
      <w:pPr>
        <w:spacing w:after="0" w:line="240" w:lineRule="auto"/>
        <w:ind w:left="567" w:right="567"/>
        <w:jc w:val="both"/>
        <w:rPr>
          <w:rFonts w:ascii="Times New Roman" w:eastAsia="Times New Roman" w:hAnsi="Times New Roman" w:cs="Traditional Arabic"/>
          <w:noProof/>
          <w:kern w:val="0"/>
          <w:sz w:val="20"/>
          <w:szCs w:val="20"/>
          <w:rtl/>
          <w14:ligatures w14:val="none"/>
        </w:rPr>
      </w:pPr>
      <w:bookmarkStart w:id="2" w:name="OLE_LINK21"/>
      <w:r w:rsidRPr="00062963">
        <w:rPr>
          <w:rFonts w:ascii="Times New Roman" w:eastAsia="Times New Roman" w:hAnsi="Times New Roman" w:cs="Traditional Arabic"/>
          <w:noProof/>
          <w:kern w:val="0"/>
          <w:sz w:val="20"/>
          <w:szCs w:val="20"/>
          <w14:ligatures w14:val="none"/>
        </w:rPr>
        <w:t>High-hazard process industries (HHPIs) operate in</w:t>
      </w:r>
      <w:bookmarkEnd w:id="2"/>
      <w:r>
        <w:rPr>
          <w:rFonts w:ascii="Times New Roman" w:eastAsia="Times New Roman" w:hAnsi="Times New Roman" w:cs="Traditional Arabic"/>
          <w:noProof/>
          <w:kern w:val="0"/>
          <w:sz w:val="20"/>
          <w:szCs w:val="20"/>
          <w14:ligatures w14:val="none"/>
        </w:rPr>
        <w:t xml:space="preserve"> complex and unpredictable environments, where traditional safety training based on compliance often fails to prepare operators for unforeseen dis</w:t>
      </w:r>
      <w:r w:rsidR="00F14FD6">
        <w:rPr>
          <w:rFonts w:ascii="Times New Roman" w:eastAsia="Times New Roman" w:hAnsi="Times New Roman" w:cs="Traditional Arabic"/>
          <w:noProof/>
          <w:kern w:val="0"/>
          <w:sz w:val="20"/>
          <w:szCs w:val="20"/>
          <w14:ligatures w14:val="none"/>
        </w:rPr>
        <w:t xml:space="preserve">ruptions. </w:t>
      </w:r>
      <w:r w:rsidR="00F14FD6" w:rsidRPr="00F14FD6">
        <w:rPr>
          <w:rFonts w:ascii="Times New Roman" w:eastAsia="Times New Roman" w:hAnsi="Times New Roman" w:cs="Traditional Arabic"/>
          <w:noProof/>
          <w:kern w:val="0"/>
          <w:sz w:val="20"/>
          <w:szCs w:val="20"/>
          <w14:ligatures w14:val="none"/>
        </w:rPr>
        <w:t xml:space="preserve">This </w:t>
      </w:r>
      <w:r w:rsidR="00F14FD6">
        <w:rPr>
          <w:rFonts w:ascii="Times New Roman" w:eastAsia="Times New Roman" w:hAnsi="Times New Roman" w:cs="Traditional Arabic"/>
          <w:noProof/>
          <w:kern w:val="0"/>
          <w:sz w:val="20"/>
          <w:szCs w:val="20"/>
          <w14:ligatures w14:val="none"/>
        </w:rPr>
        <w:t>article</w:t>
      </w:r>
      <w:r w:rsidR="00F14FD6" w:rsidRPr="00F14FD6">
        <w:rPr>
          <w:rFonts w:ascii="Times New Roman" w:eastAsia="Times New Roman" w:hAnsi="Times New Roman" w:cs="Traditional Arabic"/>
          <w:noProof/>
          <w:kern w:val="0"/>
          <w:sz w:val="20"/>
          <w:szCs w:val="20"/>
          <w14:ligatures w14:val="none"/>
        </w:rPr>
        <w:t xml:space="preserve"> proposes a novel training design framework based on the concept of "Antifragility"</w:t>
      </w:r>
      <w:r w:rsidR="00F14FD6">
        <w:rPr>
          <w:rFonts w:ascii="Times New Roman" w:eastAsia="Times New Roman" w:hAnsi="Times New Roman" w:cs="Traditional Arabic"/>
          <w:noProof/>
          <w:kern w:val="0"/>
          <w:sz w:val="20"/>
          <w:szCs w:val="20"/>
          <w14:ligatures w14:val="none"/>
        </w:rPr>
        <w:t>-</w:t>
      </w:r>
      <w:r w:rsidR="00F14FD6" w:rsidRPr="00F14FD6">
        <w:rPr>
          <w:rFonts w:ascii="Times New Roman" w:eastAsia="Times New Roman" w:hAnsi="Times New Roman" w:cs="Traditional Arabic"/>
          <w:noProof/>
          <w:kern w:val="0"/>
          <w:sz w:val="20"/>
          <w:szCs w:val="20"/>
          <w14:ligatures w14:val="none"/>
        </w:rPr>
        <w:t>the capacity of a system to gain capability from disorder</w:t>
      </w:r>
      <w:r w:rsidR="00F14FD6">
        <w:rPr>
          <w:rFonts w:ascii="Times New Roman" w:eastAsia="Times New Roman" w:hAnsi="Times New Roman" w:cs="Traditional Arabic"/>
          <w:noProof/>
          <w:kern w:val="0"/>
          <w:sz w:val="20"/>
          <w:szCs w:val="20"/>
          <w14:ligatures w14:val="none"/>
        </w:rPr>
        <w:t>-</w:t>
      </w:r>
      <w:r w:rsidR="00F14FD6" w:rsidRPr="00F14FD6">
        <w:rPr>
          <w:rFonts w:ascii="Times New Roman" w:eastAsia="Times New Roman" w:hAnsi="Times New Roman" w:cs="Traditional Arabic"/>
          <w:noProof/>
          <w:kern w:val="0"/>
          <w:sz w:val="20"/>
          <w:szCs w:val="20"/>
          <w14:ligatures w14:val="none"/>
        </w:rPr>
        <w:t>integrated with Safety-II principles.</w:t>
      </w:r>
      <w:r w:rsidR="009F7908">
        <w:rPr>
          <w:rFonts w:ascii="Times New Roman" w:eastAsia="Times New Roman" w:hAnsi="Times New Roman" w:cs="Traditional Arabic"/>
          <w:noProof/>
          <w:kern w:val="0"/>
          <w:sz w:val="20"/>
          <w:szCs w:val="20"/>
          <w14:ligatures w14:val="none"/>
        </w:rPr>
        <w:t xml:space="preserve"> </w:t>
      </w:r>
      <w:r w:rsidR="009F7908" w:rsidRPr="009F7908">
        <w:rPr>
          <w:rFonts w:ascii="Times New Roman" w:eastAsia="Times New Roman" w:hAnsi="Times New Roman" w:cs="Traditional Arabic"/>
          <w:noProof/>
          <w:kern w:val="0"/>
          <w:sz w:val="20"/>
          <w:szCs w:val="20"/>
          <w14:ligatures w14:val="none"/>
        </w:rPr>
        <w:t>. The proposed framework transforms the training paradigm by linking three critical components: (1) the systematic extraction of "weak signals" from near-miss reports to identify latent hazards; (2) "Scenario Engineering," which utilizes Operator Training Simulators (OTS) and Virtual Reality (VR) to convert these signals into immersive, high-stress practice scenarios; and (3) rapid, behavior-based feedback loops to immediately reinforce adaptive decision-making. By replacing static instruction with dynamic exposure to controlled variability, this approach aims to cultivate "adaptive competence" rather than mere rule adherence. The study concludes that implementing this integrated cycle allows organizations to evolve from fragile compliance to resilient performance, where operational stressors serve as catalysts for continuous safety improvement</w:t>
      </w:r>
    </w:p>
    <w:p w14:paraId="10159DC1" w14:textId="77777777" w:rsidR="00A55077" w:rsidRPr="00A55077" w:rsidRDefault="00A55077" w:rsidP="00A55077">
      <w:pPr>
        <w:bidi/>
        <w:spacing w:after="0" w:line="240" w:lineRule="auto"/>
        <w:jc w:val="center"/>
        <w:rPr>
          <w:rFonts w:ascii="Times New Roman" w:eastAsia="Times New Roman" w:hAnsi="Times New Roman" w:cs="Nazanin"/>
          <w:b/>
          <w:bCs/>
          <w:noProof/>
          <w:kern w:val="0"/>
          <w:sz w:val="28"/>
          <w:szCs w:val="32"/>
          <w:rtl/>
          <w:lang w:bidi="fa-IR"/>
          <w14:ligatures w14:val="none"/>
        </w:rPr>
      </w:pPr>
    </w:p>
    <w:p w14:paraId="28519D94" w14:textId="77777777" w:rsidR="00A55077" w:rsidRPr="00A55077" w:rsidRDefault="00A55077" w:rsidP="00A55077">
      <w:pPr>
        <w:bidi/>
        <w:spacing w:after="0" w:line="240" w:lineRule="auto"/>
        <w:jc w:val="center"/>
        <w:rPr>
          <w:rFonts w:ascii="Times New Roman" w:eastAsia="Times New Roman" w:hAnsi="Times New Roman" w:cs="Nazanin"/>
          <w:b/>
          <w:bCs/>
          <w:noProof/>
          <w:kern w:val="0"/>
          <w:sz w:val="28"/>
          <w:szCs w:val="32"/>
          <w:rtl/>
          <w:lang w:bidi="fa-IR"/>
          <w14:ligatures w14:val="none"/>
        </w:rPr>
      </w:pPr>
    </w:p>
    <w:p w14:paraId="5E16ED89" w14:textId="77777777" w:rsidR="00A55077" w:rsidRPr="00A55077" w:rsidRDefault="00A55077" w:rsidP="00A55077">
      <w:pPr>
        <w:bidi/>
        <w:spacing w:after="0" w:line="240" w:lineRule="auto"/>
        <w:jc w:val="center"/>
        <w:rPr>
          <w:rFonts w:ascii="Times New Roman" w:eastAsia="Times New Roman" w:hAnsi="Times New Roman" w:cs="Nazanin"/>
          <w:b/>
          <w:bCs/>
          <w:noProof/>
          <w:kern w:val="0"/>
          <w:sz w:val="28"/>
          <w:szCs w:val="32"/>
          <w:rtl/>
          <w:lang w:bidi="fa-IR"/>
          <w14:ligatures w14:val="none"/>
        </w:rPr>
      </w:pPr>
    </w:p>
    <w:p w14:paraId="30A39882" w14:textId="36174EF6" w:rsidR="00A55077" w:rsidRPr="00A55077" w:rsidRDefault="00A55077" w:rsidP="002848D4">
      <w:pPr>
        <w:keepNext/>
        <w:bidi/>
        <w:spacing w:after="0" w:line="240" w:lineRule="auto"/>
        <w:ind w:left="567" w:right="567"/>
        <w:jc w:val="right"/>
        <w:outlineLvl w:val="1"/>
        <w:rPr>
          <w:rFonts w:ascii="Times New Roman" w:eastAsia="Times New Roman" w:hAnsi="Times New Roman" w:cs="Nazanin"/>
          <w:noProof/>
          <w:kern w:val="0"/>
          <w:sz w:val="28"/>
          <w:szCs w:val="32"/>
          <w:rtl/>
          <w:lang w:bidi="fa-IR"/>
          <w14:ligatures w14:val="none"/>
        </w:rPr>
      </w:pPr>
      <w:r w:rsidRPr="0086501F">
        <w:rPr>
          <w:rFonts w:ascii="Times New Roman" w:eastAsia="Times New Roman" w:hAnsi="Times New Roman" w:cs="Nazanin"/>
          <w:b/>
          <w:bCs/>
          <w:noProof/>
          <w:kern w:val="0"/>
          <w:sz w:val="22"/>
          <w:szCs w:val="22"/>
          <w14:ligatures w14:val="none"/>
        </w:rPr>
        <w:t>Keywords</w:t>
      </w:r>
      <w:r w:rsidRPr="0086501F">
        <w:rPr>
          <w:rFonts w:ascii="Times New Roman" w:eastAsia="Times New Roman" w:hAnsi="Times New Roman" w:cs="Traditional Arabic"/>
          <w:noProof/>
          <w:kern w:val="0"/>
          <w:sz w:val="22"/>
          <w:szCs w:val="22"/>
          <w14:ligatures w14:val="none"/>
        </w:rPr>
        <w:t>:</w:t>
      </w:r>
      <w:r w:rsidRPr="00A55077">
        <w:rPr>
          <w:rFonts w:ascii="Times New Roman" w:eastAsia="Times New Roman" w:hAnsi="Times New Roman" w:cs="Traditional Arabic"/>
          <w:noProof/>
          <w:kern w:val="0"/>
          <w:sz w:val="20"/>
          <w:szCs w:val="20"/>
          <w14:ligatures w14:val="none"/>
        </w:rPr>
        <w:t xml:space="preserve"> </w:t>
      </w:r>
      <w:r w:rsidR="002848D4" w:rsidRPr="002848D4">
        <w:rPr>
          <w:rFonts w:ascii="Times New Roman" w:eastAsia="Times New Roman" w:hAnsi="Times New Roman" w:cs="Traditional Arabic"/>
          <w:noProof/>
          <w:kern w:val="0"/>
          <w:sz w:val="20"/>
          <w:szCs w:val="20"/>
          <w14:ligatures w14:val="none"/>
        </w:rPr>
        <w:t>Antifragility, Safety-II, Process Safety Training, Near-miss Management, Scenario</w:t>
      </w:r>
      <w:r w:rsidR="002848D4">
        <w:rPr>
          <w:rFonts w:ascii="Times New Roman" w:eastAsia="Times New Roman" w:hAnsi="Times New Roman" w:cs="Traditional Arabic"/>
          <w:noProof/>
          <w:kern w:val="0"/>
          <w:sz w:val="20"/>
          <w:szCs w:val="20"/>
          <w14:ligatures w14:val="none"/>
        </w:rPr>
        <w:t xml:space="preserve"> </w:t>
      </w:r>
      <w:r w:rsidR="002848D4" w:rsidRPr="002848D4">
        <w:rPr>
          <w:rFonts w:ascii="Times New Roman" w:eastAsia="Times New Roman" w:hAnsi="Times New Roman" w:cs="Traditional Arabic"/>
          <w:noProof/>
          <w:kern w:val="0"/>
          <w:sz w:val="20"/>
          <w:szCs w:val="20"/>
          <w14:ligatures w14:val="none"/>
        </w:rPr>
        <w:t>Engineering, Rapid Feedback, Virtual Reality, Adaptive Capacity</w:t>
      </w:r>
    </w:p>
    <w:p w14:paraId="0F1E70BF" w14:textId="77777777" w:rsidR="00A55077" w:rsidRPr="00A55077" w:rsidRDefault="00A55077" w:rsidP="00A55077">
      <w:pPr>
        <w:bidi/>
        <w:spacing w:after="0" w:line="240" w:lineRule="auto"/>
        <w:jc w:val="center"/>
        <w:rPr>
          <w:rFonts w:ascii="Times New Roman" w:eastAsia="Times New Roman" w:hAnsi="Times New Roman" w:cs="Nazanin"/>
          <w:b/>
          <w:bCs/>
          <w:noProof/>
          <w:kern w:val="0"/>
          <w:sz w:val="28"/>
          <w:szCs w:val="32"/>
          <w:rtl/>
          <w:lang w:bidi="fa-IR"/>
          <w14:ligatures w14:val="none"/>
        </w:rPr>
      </w:pPr>
    </w:p>
    <w:p w14:paraId="3D463168" w14:textId="77777777" w:rsidR="00A55077" w:rsidRPr="00A55077" w:rsidRDefault="00A55077" w:rsidP="00A35A8F">
      <w:pPr>
        <w:jc w:val="center"/>
        <w:rPr>
          <w:rFonts w:asciiTheme="majorBidi" w:hAnsiTheme="majorBidi" w:cstheme="majorBidi"/>
          <w:sz w:val="20"/>
          <w:szCs w:val="20"/>
        </w:rPr>
      </w:pPr>
    </w:p>
    <w:p w14:paraId="09D3CD0E" w14:textId="77777777" w:rsidR="00A55077" w:rsidRPr="00A55077" w:rsidRDefault="00A55077" w:rsidP="00A35A8F">
      <w:pPr>
        <w:jc w:val="center"/>
        <w:rPr>
          <w:rFonts w:asciiTheme="majorBidi" w:hAnsiTheme="majorBidi" w:cstheme="majorBidi"/>
          <w:sz w:val="20"/>
          <w:szCs w:val="20"/>
        </w:rPr>
      </w:pPr>
    </w:p>
    <w:p w14:paraId="521E9556" w14:textId="77777777" w:rsidR="00FD1932" w:rsidRDefault="00FD1932">
      <w:pPr>
        <w:rPr>
          <w:rFonts w:asciiTheme="majorBidi" w:hAnsiTheme="majorBidi" w:cstheme="majorBidi"/>
          <w:b/>
          <w:bCs/>
          <w:sz w:val="20"/>
          <w:szCs w:val="20"/>
        </w:rPr>
      </w:pPr>
    </w:p>
    <w:p w14:paraId="7D67A9B6" w14:textId="77777777" w:rsidR="00FD1932" w:rsidRDefault="00FD1932">
      <w:pPr>
        <w:rPr>
          <w:rFonts w:asciiTheme="majorBidi" w:hAnsiTheme="majorBidi" w:cstheme="majorBidi"/>
          <w:b/>
          <w:bCs/>
          <w:sz w:val="20"/>
          <w:szCs w:val="20"/>
        </w:rPr>
      </w:pPr>
    </w:p>
    <w:p w14:paraId="0A07A65D" w14:textId="77777777" w:rsidR="00FD1932" w:rsidRDefault="00FD1932">
      <w:pPr>
        <w:rPr>
          <w:rFonts w:asciiTheme="majorBidi" w:hAnsiTheme="majorBidi" w:cstheme="majorBidi"/>
          <w:b/>
          <w:bCs/>
          <w:sz w:val="20"/>
          <w:szCs w:val="20"/>
        </w:rPr>
      </w:pPr>
    </w:p>
    <w:p w14:paraId="102BF478" w14:textId="77777777" w:rsidR="00174D86" w:rsidRDefault="00174D86">
      <w:pPr>
        <w:rPr>
          <w:rFonts w:asciiTheme="majorBidi" w:hAnsiTheme="majorBidi" w:cstheme="majorBidi"/>
          <w:b/>
          <w:bCs/>
          <w:sz w:val="20"/>
          <w:szCs w:val="20"/>
        </w:rPr>
      </w:pPr>
    </w:p>
    <w:p w14:paraId="6C7E02BA" w14:textId="77777777" w:rsidR="00FD1932" w:rsidRDefault="00FD1932">
      <w:pPr>
        <w:rPr>
          <w:rFonts w:asciiTheme="majorBidi" w:hAnsiTheme="majorBidi" w:cstheme="majorBidi"/>
          <w:b/>
          <w:bCs/>
          <w:sz w:val="20"/>
          <w:szCs w:val="20"/>
        </w:rPr>
      </w:pPr>
    </w:p>
    <w:p w14:paraId="0F5C6F6B" w14:textId="70004E40" w:rsidR="00FD1932" w:rsidRDefault="00FD1932" w:rsidP="00A55077">
      <w:pPr>
        <w:rPr>
          <w:rFonts w:asciiTheme="majorBidi" w:hAnsiTheme="majorBidi" w:cstheme="majorBidi"/>
          <w:b/>
          <w:bCs/>
          <w:sz w:val="20"/>
          <w:szCs w:val="20"/>
        </w:rPr>
      </w:pPr>
    </w:p>
    <w:p w14:paraId="71A4A663" w14:textId="0B9B9528" w:rsidR="00A55077" w:rsidRPr="0039097C" w:rsidRDefault="00A55077" w:rsidP="00A55077">
      <w:pPr>
        <w:rPr>
          <w:rFonts w:asciiTheme="majorBidi" w:hAnsiTheme="majorBidi" w:cstheme="majorBidi"/>
          <w:b/>
          <w:bCs/>
          <w:sz w:val="22"/>
          <w:szCs w:val="22"/>
        </w:rPr>
      </w:pPr>
      <w:r w:rsidRPr="0039097C">
        <w:rPr>
          <w:rFonts w:asciiTheme="majorBidi" w:hAnsiTheme="majorBidi" w:cstheme="majorBidi"/>
          <w:b/>
          <w:bCs/>
          <w:sz w:val="22"/>
          <w:szCs w:val="22"/>
        </w:rPr>
        <w:lastRenderedPageBreak/>
        <w:t>1. Introduction</w:t>
      </w:r>
    </w:p>
    <w:p w14:paraId="257A75D6" w14:textId="6D733243" w:rsidR="005303EE" w:rsidRPr="001D1CA7" w:rsidRDefault="009537A7" w:rsidP="009537A7">
      <w:pPr>
        <w:jc w:val="both"/>
        <w:rPr>
          <w:rFonts w:asciiTheme="majorBidi" w:hAnsiTheme="majorBidi" w:cstheme="majorBidi"/>
          <w:sz w:val="20"/>
          <w:szCs w:val="20"/>
        </w:rPr>
      </w:pPr>
      <w:bookmarkStart w:id="3" w:name="_Hlk218879556"/>
      <w:r w:rsidRPr="001D1CA7">
        <w:rPr>
          <w:rFonts w:asciiTheme="majorBidi" w:hAnsiTheme="majorBidi" w:cstheme="majorBidi"/>
          <w:sz w:val="20"/>
          <w:szCs w:val="20"/>
        </w:rPr>
        <w:t>High-hazard process industries (HHPIs), such as oil refineries and petrochemical facilities, function in environments characterized by inherent complexity, tight interconnections, and evolving risks. These conditions encompass dangerous materials, changing operational modes, urgent decision-making, and socio-technical dependencies that span field operations, control rooms, and organizational interactions. In these contexts, safety cannot be viewed merely as a fixed condition marked by the lack of negative events. Instead, it arises from ongoing adaptation, coordination, and management of performance variability in response to shifting operational requirements</w:t>
      </w:r>
      <w:bookmarkEnd w:id="0"/>
      <w:r w:rsidR="00187C06">
        <w:rPr>
          <w:rFonts w:asciiTheme="majorBidi" w:hAnsiTheme="majorBidi" w:cstheme="majorBidi"/>
          <w:sz w:val="20"/>
          <w:szCs w:val="20"/>
        </w:rPr>
        <w:t xml:space="preserve">. </w:t>
      </w:r>
      <w:r w:rsidR="00187C06" w:rsidRPr="00187C06">
        <w:rPr>
          <w:rFonts w:asciiTheme="majorBidi" w:hAnsiTheme="majorBidi" w:cstheme="majorBidi"/>
          <w:sz w:val="20"/>
          <w:szCs w:val="20"/>
        </w:rPr>
        <w:t>Despite continuous investments, safety training is still commonly delivered through traditional formats (e.g., manuals, videos, and lecture-based materials), which can create a passive learning environment and provide limited feedback, thereby constraining engagement and learning outcomes</w:t>
      </w:r>
      <w:r w:rsidR="00B55829">
        <w:rPr>
          <w:rFonts w:asciiTheme="majorBidi" w:hAnsiTheme="majorBidi" w:cstheme="majorBidi" w:hint="cs"/>
          <w:sz w:val="20"/>
          <w:szCs w:val="20"/>
          <w:rtl/>
        </w:rPr>
        <w:t xml:space="preserve"> </w:t>
      </w:r>
      <w:r w:rsidR="00B55829">
        <w:rPr>
          <w:rFonts w:asciiTheme="majorBidi" w:hAnsiTheme="majorBidi" w:cstheme="majorBidi"/>
          <w:sz w:val="20"/>
          <w:szCs w:val="20"/>
        </w:rPr>
        <w:fldChar w:fldCharType="begin"/>
      </w:r>
      <w:r w:rsidR="00BA1F37">
        <w:rPr>
          <w:rFonts w:asciiTheme="majorBidi" w:hAnsiTheme="majorBidi" w:cstheme="majorBidi"/>
          <w:sz w:val="20"/>
          <w:szCs w:val="20"/>
        </w:rPr>
        <w:instrText xml:space="preserve"> ADDIN EN.CITE &lt;EndNote&gt;&lt;Cite&gt;&lt;Author&gt;Scorgie&lt;/Author&gt;&lt;Year&gt;2024&lt;/Year&gt;&lt;RecNum&gt;2&lt;/RecNum&gt;&lt;DisplayText&gt;[1]&lt;/DisplayText&gt;&lt;record&gt;&lt;rec-number&gt;2&lt;/rec-number&gt;&lt;foreign-keys&gt;&lt;key app="EN" db-id="dz0tx9r22vexwlee5zcv2d92r92sp99dxwfv" timestamp="1766496824"&gt;2&lt;/key&gt;&lt;/foreign-keys&gt;&lt;ref-type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science&lt;/full-title&gt;&lt;/periodical&gt;&lt;pages&gt;106372&lt;/pages&gt;&lt;volume&gt;171&lt;/volume&gt;&lt;dates&gt;&lt;year&gt;2024&lt;/year&gt;&lt;/dates&gt;&lt;isbn&gt;0925-7535&lt;/isbn&gt;&lt;urls&gt;&lt;/urls&gt;&lt;/record&gt;&lt;/Cite&gt;&lt;/EndNote&gt;</w:instrText>
      </w:r>
      <w:r w:rsidR="00B55829">
        <w:rPr>
          <w:rFonts w:asciiTheme="majorBidi" w:hAnsiTheme="majorBidi" w:cstheme="majorBidi"/>
          <w:sz w:val="20"/>
          <w:szCs w:val="20"/>
        </w:rPr>
        <w:fldChar w:fldCharType="separate"/>
      </w:r>
      <w:r w:rsidR="00BA1F37">
        <w:rPr>
          <w:rFonts w:asciiTheme="majorBidi" w:hAnsiTheme="majorBidi" w:cstheme="majorBidi"/>
          <w:noProof/>
          <w:sz w:val="20"/>
          <w:szCs w:val="20"/>
        </w:rPr>
        <w:t>[1]</w:t>
      </w:r>
      <w:r w:rsidR="00B55829">
        <w:rPr>
          <w:rFonts w:asciiTheme="majorBidi" w:hAnsiTheme="majorBidi" w:cstheme="majorBidi"/>
          <w:sz w:val="20"/>
          <w:szCs w:val="20"/>
        </w:rPr>
        <w:fldChar w:fldCharType="end"/>
      </w:r>
      <w:r w:rsidRPr="001D1CA7">
        <w:rPr>
          <w:rFonts w:asciiTheme="majorBidi" w:hAnsiTheme="majorBidi" w:cstheme="majorBidi"/>
          <w:sz w:val="20"/>
          <w:szCs w:val="20"/>
        </w:rPr>
        <w:t>. This discrepancy is especially critical in process industries, where even small deviations can quickly lead to loss-of-containment situations and serious accident risks.</w:t>
      </w:r>
    </w:p>
    <w:bookmarkEnd w:id="3"/>
    <w:p w14:paraId="028D0FE8" w14:textId="486CB777" w:rsidR="009537A7" w:rsidRPr="001D1CA7" w:rsidRDefault="009537A7" w:rsidP="009537A7">
      <w:pPr>
        <w:jc w:val="both"/>
        <w:rPr>
          <w:rFonts w:asciiTheme="majorBidi" w:hAnsiTheme="majorBidi" w:cstheme="majorBidi"/>
          <w:sz w:val="20"/>
          <w:szCs w:val="20"/>
        </w:rPr>
      </w:pPr>
      <w:r w:rsidRPr="001D1CA7">
        <w:rPr>
          <w:rFonts w:asciiTheme="majorBidi" w:hAnsiTheme="majorBidi" w:cstheme="majorBidi"/>
          <w:sz w:val="20"/>
          <w:szCs w:val="20"/>
        </w:rPr>
        <w:t xml:space="preserve">Modern safety science has increasingly challenged the adequacy of traditional “Safety-I” frameworks, which focus on analyzing past incidents and implementing reactive measures aimed at reducing errors and eliminating failures. Although Safety-I has facilitated significant advancements in incident investigation and barrier management, its prevailing logic often relies on a deficit model, which focuses on pinpointing what went wrong and preventing it from happening again. Conversely, the Safety-II viewpoint and resilience engineering assert that understanding safety requires a balanced focus on why operations typically succeed, even in variable conditions </w:t>
      </w:r>
      <w:r w:rsidR="0078488C">
        <w:rPr>
          <w:rFonts w:asciiTheme="majorBidi" w:hAnsiTheme="majorBidi" w:cstheme="majorBidi"/>
          <w:sz w:val="20"/>
          <w:szCs w:val="20"/>
        </w:rPr>
        <w:fldChar w:fldCharType="begin"/>
      </w:r>
      <w:r w:rsidR="00BA1F37">
        <w:rPr>
          <w:rFonts w:asciiTheme="majorBidi" w:hAnsiTheme="majorBidi" w:cstheme="majorBidi"/>
          <w:sz w:val="20"/>
          <w:szCs w:val="20"/>
        </w:rPr>
        <w:instrText xml:space="preserve"> ADDIN EN.CITE &lt;EndNote&gt;&lt;Cite&gt;&lt;Author&gt;Ham&lt;/Author&gt;&lt;Year&gt;2021&lt;/Year&gt;&lt;RecNum&gt;3&lt;/RecNum&gt;&lt;DisplayText&gt;[2]&lt;/DisplayText&gt;&lt;record&gt;&lt;rec-number&gt;3&lt;/rec-number&gt;&lt;foreign-keys&gt;&lt;key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EndNote&gt;</w:instrText>
      </w:r>
      <w:r w:rsidR="0078488C">
        <w:rPr>
          <w:rFonts w:asciiTheme="majorBidi" w:hAnsiTheme="majorBidi" w:cstheme="majorBidi"/>
          <w:sz w:val="20"/>
          <w:szCs w:val="20"/>
        </w:rPr>
        <w:fldChar w:fldCharType="separate"/>
      </w:r>
      <w:r w:rsidR="00BA1F37">
        <w:rPr>
          <w:rFonts w:asciiTheme="majorBidi" w:hAnsiTheme="majorBidi" w:cstheme="majorBidi"/>
          <w:noProof/>
          <w:sz w:val="20"/>
          <w:szCs w:val="20"/>
        </w:rPr>
        <w:t>[2]</w:t>
      </w:r>
      <w:r w:rsidR="0078488C">
        <w:rPr>
          <w:rFonts w:asciiTheme="majorBidi" w:hAnsiTheme="majorBidi" w:cstheme="majorBidi"/>
          <w:sz w:val="20"/>
          <w:szCs w:val="20"/>
        </w:rPr>
        <w:fldChar w:fldCharType="end"/>
      </w:r>
      <w:r w:rsidRPr="001D1CA7">
        <w:rPr>
          <w:rFonts w:asciiTheme="majorBidi" w:hAnsiTheme="majorBidi" w:cstheme="majorBidi"/>
          <w:sz w:val="20"/>
          <w:szCs w:val="20"/>
        </w:rPr>
        <w:t xml:space="preserve">. From this perspective, performance adaptations and local compromises are not just indicators of potential failure; they also serve as methods through which systems maintain control and achieve their objectives. As a result, safety management must transition from primarily reactive techniques to a proactive capability enhancement, thereby boosting the system’s ability to </w:t>
      </w:r>
      <w:r w:rsidR="00264E48" w:rsidRPr="00264E48">
        <w:rPr>
          <w:rFonts w:asciiTheme="majorBidi" w:hAnsiTheme="majorBidi" w:cstheme="majorBidi"/>
          <w:sz w:val="20"/>
          <w:szCs w:val="20"/>
        </w:rPr>
        <w:t>anticipate, monitor, respond, and learn</w:t>
      </w:r>
      <w:r w:rsidRPr="001D1CA7">
        <w:rPr>
          <w:rFonts w:asciiTheme="majorBidi" w:hAnsiTheme="majorBidi" w:cstheme="majorBidi"/>
          <w:sz w:val="20"/>
          <w:szCs w:val="20"/>
        </w:rPr>
        <w:t xml:space="preserve"> </w:t>
      </w:r>
      <w:r w:rsidR="0078488C">
        <w:rPr>
          <w:rFonts w:asciiTheme="majorBidi" w:hAnsiTheme="majorBidi" w:cstheme="majorBidi"/>
          <w:sz w:val="20"/>
          <w:szCs w:val="20"/>
        </w:rPr>
        <w:fldChar w:fldCharType="begin"/>
      </w:r>
      <w:r w:rsidR="00BA1F37">
        <w:rPr>
          <w:rFonts w:asciiTheme="majorBidi" w:hAnsiTheme="majorBidi" w:cstheme="majorBidi"/>
          <w:sz w:val="20"/>
          <w:szCs w:val="20"/>
        </w:rPr>
        <w:instrText xml:space="preserve"> ADDIN EN.CITE &lt;EndNote&gt;&lt;Cite&gt;&lt;Author&gt;Ham&lt;/Author&gt;&lt;Year&gt;2021&lt;/Year&gt;&lt;RecNum&gt;3&lt;/RecNum&gt;&lt;DisplayText&gt;[2]&lt;/DisplayText&gt;&lt;record&gt;&lt;rec-number&gt;3&lt;/rec-number&gt;&lt;foreign-keys&gt;&lt;key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EndNote&gt;</w:instrText>
      </w:r>
      <w:r w:rsidR="0078488C">
        <w:rPr>
          <w:rFonts w:asciiTheme="majorBidi" w:hAnsiTheme="majorBidi" w:cstheme="majorBidi"/>
          <w:sz w:val="20"/>
          <w:szCs w:val="20"/>
        </w:rPr>
        <w:fldChar w:fldCharType="separate"/>
      </w:r>
      <w:r w:rsidR="00BA1F37">
        <w:rPr>
          <w:rFonts w:asciiTheme="majorBidi" w:hAnsiTheme="majorBidi" w:cstheme="majorBidi"/>
          <w:noProof/>
          <w:sz w:val="20"/>
          <w:szCs w:val="20"/>
        </w:rPr>
        <w:t>[2]</w:t>
      </w:r>
      <w:r w:rsidR="0078488C">
        <w:rPr>
          <w:rFonts w:asciiTheme="majorBidi" w:hAnsiTheme="majorBidi" w:cstheme="majorBidi"/>
          <w:sz w:val="20"/>
          <w:szCs w:val="20"/>
        </w:rPr>
        <w:fldChar w:fldCharType="end"/>
      </w:r>
      <w:r w:rsidRPr="001D1CA7">
        <w:rPr>
          <w:rFonts w:asciiTheme="majorBidi" w:hAnsiTheme="majorBidi" w:cstheme="majorBidi"/>
          <w:sz w:val="20"/>
          <w:szCs w:val="20"/>
        </w:rPr>
        <w:t>. In the realm of chemical process operations, this transition suggests that training needs to expand beyond standard instruction (“what should be done”) to fostering adaptive performance (“what can be done safely in context”).</w:t>
      </w:r>
    </w:p>
    <w:p w14:paraId="76A18811" w14:textId="15A5BCA2" w:rsidR="00BB072A" w:rsidRDefault="007C4BEC" w:rsidP="00505226">
      <w:pPr>
        <w:jc w:val="both"/>
        <w:rPr>
          <w:rFonts w:asciiTheme="majorBidi" w:hAnsiTheme="majorBidi" w:cstheme="majorBidi"/>
          <w:sz w:val="20"/>
          <w:szCs w:val="20"/>
          <w:rtl/>
        </w:rPr>
      </w:pPr>
      <w:r w:rsidRPr="001D1CA7">
        <w:rPr>
          <w:rFonts w:asciiTheme="majorBidi" w:hAnsiTheme="majorBidi" w:cstheme="majorBidi"/>
          <w:sz w:val="20"/>
          <w:szCs w:val="20"/>
        </w:rPr>
        <w:t>Expanding on this approach, the concept of antifragility presents an even more challenging safety ambition than resilience. Resilience typically refers to the capacity to absorb disturbances and maintain or recover functional performance. In contrast,</w:t>
      </w:r>
      <w:r w:rsidR="00431FA1">
        <w:rPr>
          <w:rFonts w:asciiTheme="majorBidi" w:hAnsiTheme="majorBidi" w:cstheme="majorBidi" w:hint="cs"/>
          <w:sz w:val="20"/>
          <w:szCs w:val="20"/>
          <w:rtl/>
        </w:rPr>
        <w:t xml:space="preserve"> </w:t>
      </w:r>
      <w:r w:rsidR="00431FA1" w:rsidRPr="00431FA1">
        <w:rPr>
          <w:rFonts w:asciiTheme="majorBidi" w:hAnsiTheme="majorBidi" w:cstheme="majorBidi"/>
          <w:sz w:val="20"/>
          <w:szCs w:val="20"/>
        </w:rPr>
        <w:t>Antifragility is the capability of a system to gain from disorder, such that variability and disruptions become inputs for learning and redesign that improve future performance and safety margins, not merely absorb shocks or recover from them</w:t>
      </w:r>
      <w:r w:rsidR="00F61A64">
        <w:rPr>
          <w:rFonts w:asciiTheme="majorBidi" w:hAnsiTheme="majorBidi" w:cstheme="majorBidi" w:hint="cs"/>
          <w:sz w:val="20"/>
          <w:szCs w:val="20"/>
          <w:rtl/>
        </w:rPr>
        <w:t xml:space="preserve"> </w:t>
      </w:r>
      <w:r w:rsidR="00647CF6">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&lt;EndNote&gt;&lt;Cite&gt;&lt;Author&gt;Taleb&lt;/Author&gt;&lt;Year&gt;2012&lt;/Year&gt;&lt;RecNum&gt;10&lt;/RecNum&gt;&lt;DisplayText&gt;[3]&lt;/DisplayText&gt;&lt;record&gt;&lt;rec-number&gt;10&lt;/rec-number&gt;&lt;foreign-keys&gt;&lt;key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UK&lt;/publisher&gt;&lt;isbn&gt;0718197909&lt;/isbn&gt;&lt;urls&gt;&lt;/urls&gt;&lt;/record&gt;&lt;/Cite&gt;&lt;/EndNote&gt;</w:instrText>
      </w:r>
      <w:r w:rsidR="00647CF6">
        <w:rPr>
          <w:rFonts w:asciiTheme="majorBidi" w:hAnsiTheme="majorBidi" w:cstheme="majorBidi"/>
          <w:sz w:val="20"/>
          <w:szCs w:val="20"/>
        </w:rPr>
        <w:fldChar w:fldCharType="separate"/>
      </w:r>
      <w:r w:rsidR="00647CF6">
        <w:rPr>
          <w:rFonts w:asciiTheme="majorBidi" w:hAnsiTheme="majorBidi" w:cstheme="majorBidi"/>
          <w:noProof/>
          <w:sz w:val="20"/>
          <w:szCs w:val="20"/>
        </w:rPr>
        <w:t>[3]</w:t>
      </w:r>
      <w:r w:rsidR="00647CF6">
        <w:rPr>
          <w:rFonts w:asciiTheme="majorBidi" w:hAnsiTheme="majorBidi" w:cstheme="majorBidi"/>
          <w:sz w:val="20"/>
          <w:szCs w:val="20"/>
        </w:rPr>
        <w:fldChar w:fldCharType="end"/>
      </w:r>
      <w:r w:rsidRPr="001D1CA7">
        <w:rPr>
          <w:rFonts w:asciiTheme="majorBidi" w:hAnsiTheme="majorBidi" w:cstheme="majorBidi"/>
          <w:sz w:val="20"/>
          <w:szCs w:val="20"/>
        </w:rPr>
        <w:t>. This distinction is operationally important: a resilient organization may recover from a disruption, whereas an antifragile organization uses controlled exposure to variability, near</w:t>
      </w:r>
      <w:r w:rsidR="00DC031D">
        <w:rPr>
          <w:rFonts w:asciiTheme="majorBidi" w:hAnsiTheme="majorBidi" w:cstheme="majorBidi"/>
          <w:sz w:val="20"/>
          <w:szCs w:val="20"/>
        </w:rPr>
        <w:t>-</w:t>
      </w:r>
      <w:r w:rsidRPr="001D1CA7">
        <w:rPr>
          <w:rFonts w:asciiTheme="majorBidi" w:hAnsiTheme="majorBidi" w:cstheme="majorBidi"/>
          <w:sz w:val="20"/>
          <w:szCs w:val="20"/>
        </w:rPr>
        <w:t>misses, and weak signals to strengthen safety-related capabilities, heuristic decision-making, and systemic safeguards over time. In process industries, where uncertainty, innovation, and drift are enduring features of everyday work, antifragility suggests that safety training should be designed as a learning system that benefits from disruptions through structured feedback and repeated modification.</w:t>
      </w:r>
      <w:r w:rsidR="00B57ACA" w:rsidRPr="001D1CA7">
        <w:rPr>
          <w:rFonts w:asciiTheme="majorBidi" w:hAnsiTheme="majorBidi" w:cstheme="majorBidi"/>
          <w:sz w:val="20"/>
          <w:szCs w:val="20"/>
        </w:rPr>
        <w:t xml:space="preserve"> These distinctions are summarized in Table 1, which compares classic compliance-based safety training with antifragility safety training in the most important design dimensions for high-risk process operations.</w:t>
      </w:r>
    </w:p>
    <w:p w14:paraId="58175455" w14:textId="77777777" w:rsidR="001D1CA7" w:rsidRPr="001D1CA7" w:rsidRDefault="001D1CA7" w:rsidP="00505226">
      <w:pPr>
        <w:jc w:val="both"/>
        <w:rPr>
          <w:rFonts w:asciiTheme="majorBidi" w:hAnsiTheme="majorBidi" w:cstheme="majorBidi"/>
          <w:sz w:val="20"/>
          <w:szCs w:val="20"/>
        </w:rPr>
      </w:pPr>
    </w:p>
    <w:p w14:paraId="73588CA8" w14:textId="64E4BD4C" w:rsidR="00E74D82" w:rsidRPr="005902B2" w:rsidRDefault="00E74D82" w:rsidP="00A3676F">
      <w:pPr>
        <w:pStyle w:val="Caption"/>
        <w:keepNext/>
        <w:jc w:val="center"/>
        <w:rPr>
          <w:rFonts w:ascii="Times New Roman" w:hAnsi="Times New Roman" w:cs="Times New Roman"/>
          <w:b/>
          <w:bCs/>
          <w:i w:val="0"/>
          <w:iCs w:val="0"/>
          <w:color w:val="000000" w:themeColor="text1"/>
          <w:sz w:val="20"/>
          <w:szCs w:val="20"/>
        </w:rPr>
      </w:pPr>
      <w:r w:rsidRPr="005902B2">
        <w:rPr>
          <w:rFonts w:ascii="Times New Roman" w:hAnsi="Times New Roman" w:cs="Times New Roman"/>
          <w:b/>
          <w:bCs/>
          <w:i w:val="0"/>
          <w:iCs w:val="0"/>
          <w:color w:val="000000" w:themeColor="text1"/>
          <w:sz w:val="20"/>
          <w:szCs w:val="20"/>
        </w:rPr>
        <w:t xml:space="preserve">Table </w:t>
      </w:r>
      <w:r w:rsidRPr="005902B2">
        <w:rPr>
          <w:rFonts w:ascii="Times New Roman" w:hAnsi="Times New Roman" w:cs="Times New Roman"/>
          <w:b/>
          <w:bCs/>
          <w:i w:val="0"/>
          <w:iCs w:val="0"/>
          <w:color w:val="000000" w:themeColor="text1"/>
          <w:sz w:val="20"/>
          <w:szCs w:val="20"/>
        </w:rPr>
        <w:fldChar w:fldCharType="begin"/>
      </w:r>
      <w:r w:rsidRPr="005902B2">
        <w:rPr>
          <w:rFonts w:ascii="Times New Roman" w:hAnsi="Times New Roman" w:cs="Times New Roman"/>
          <w:b/>
          <w:bCs/>
          <w:i w:val="0"/>
          <w:iCs w:val="0"/>
          <w:color w:val="000000" w:themeColor="text1"/>
          <w:sz w:val="20"/>
          <w:szCs w:val="20"/>
        </w:rPr>
        <w:instrText xml:space="preserve"> SEQ Table \* ARABIC </w:instrText>
      </w:r>
      <w:r w:rsidRPr="005902B2">
        <w:rPr>
          <w:rFonts w:ascii="Times New Roman" w:hAnsi="Times New Roman" w:cs="Times New Roman"/>
          <w:b/>
          <w:bCs/>
          <w:i w:val="0"/>
          <w:iCs w:val="0"/>
          <w:color w:val="000000" w:themeColor="text1"/>
          <w:sz w:val="20"/>
          <w:szCs w:val="20"/>
        </w:rPr>
        <w:fldChar w:fldCharType="separate"/>
      </w:r>
      <w:r w:rsidR="007720C6" w:rsidRPr="005902B2">
        <w:rPr>
          <w:rFonts w:ascii="Times New Roman" w:hAnsi="Times New Roman" w:cs="Times New Roman"/>
          <w:b/>
          <w:bCs/>
          <w:i w:val="0"/>
          <w:iCs w:val="0"/>
          <w:noProof/>
          <w:color w:val="000000" w:themeColor="text1"/>
          <w:sz w:val="20"/>
          <w:szCs w:val="20"/>
        </w:rPr>
        <w:t>1</w:t>
      </w:r>
      <w:r w:rsidRPr="005902B2">
        <w:rPr>
          <w:rFonts w:ascii="Times New Roman" w:hAnsi="Times New Roman" w:cs="Times New Roman"/>
          <w:b/>
          <w:bCs/>
          <w:i w:val="0"/>
          <w:iCs w:val="0"/>
          <w:color w:val="000000" w:themeColor="text1"/>
          <w:sz w:val="20"/>
          <w:szCs w:val="20"/>
        </w:rPr>
        <w:fldChar w:fldCharType="end"/>
      </w:r>
      <w:r w:rsidR="008653EB">
        <w:rPr>
          <w:rFonts w:ascii="Times New Roman" w:hAnsi="Times New Roman" w:cs="Times New Roman"/>
          <w:b/>
          <w:bCs/>
          <w:i w:val="0"/>
          <w:iCs w:val="0"/>
          <w:color w:val="000000" w:themeColor="text1"/>
          <w:sz w:val="20"/>
          <w:szCs w:val="20"/>
        </w:rPr>
        <w:t>-</w:t>
      </w:r>
      <w:r w:rsidRPr="005902B2">
        <w:rPr>
          <w:rFonts w:ascii="Times New Roman" w:hAnsi="Times New Roman" w:cs="Times New Roman"/>
          <w:b/>
          <w:bCs/>
          <w:i w:val="0"/>
          <w:iCs w:val="0"/>
          <w:noProof/>
          <w:color w:val="000000" w:themeColor="text1"/>
          <w:sz w:val="20"/>
          <w:szCs w:val="20"/>
        </w:rPr>
        <w:t xml:space="preserve">Classic Safety Training vs. </w:t>
      </w:r>
      <w:r w:rsidR="0049567D" w:rsidRPr="005902B2">
        <w:rPr>
          <w:rFonts w:ascii="Times New Roman" w:hAnsi="Times New Roman" w:cs="Times New Roman"/>
          <w:b/>
          <w:bCs/>
          <w:i w:val="0"/>
          <w:iCs w:val="0"/>
          <w:noProof/>
          <w:color w:val="000000" w:themeColor="text1"/>
          <w:sz w:val="20"/>
          <w:szCs w:val="20"/>
        </w:rPr>
        <w:t>Antifragil</w:t>
      </w:r>
      <w:r w:rsidR="00C12B61">
        <w:rPr>
          <w:rFonts w:ascii="Times New Roman" w:hAnsi="Times New Roman" w:cs="Times New Roman"/>
          <w:b/>
          <w:bCs/>
          <w:i w:val="0"/>
          <w:iCs w:val="0"/>
          <w:noProof/>
          <w:color w:val="000000" w:themeColor="text1"/>
          <w:sz w:val="20"/>
          <w:szCs w:val="20"/>
        </w:rPr>
        <w:t>e</w:t>
      </w:r>
      <w:r w:rsidR="0049567D" w:rsidRPr="005902B2">
        <w:rPr>
          <w:rFonts w:ascii="Times New Roman" w:hAnsi="Times New Roman" w:cs="Times New Roman"/>
          <w:b/>
          <w:bCs/>
          <w:i w:val="0"/>
          <w:iCs w:val="0"/>
          <w:noProof/>
          <w:color w:val="000000" w:themeColor="text1"/>
          <w:sz w:val="20"/>
          <w:szCs w:val="20"/>
        </w:rPr>
        <w:t xml:space="preserve"> Safety Training</w:t>
      </w:r>
      <w:r w:rsidRPr="005902B2">
        <w:rPr>
          <w:rFonts w:ascii="Times New Roman" w:hAnsi="Times New Roman" w:cs="Times New Roman"/>
          <w:b/>
          <w:bCs/>
          <w:i w:val="0"/>
          <w:iCs w:val="0"/>
          <w:noProof/>
          <w:color w:val="000000" w:themeColor="text1"/>
          <w:sz w:val="20"/>
          <w:szCs w:val="20"/>
        </w:rPr>
        <w:t>(Process Industries)</w:t>
      </w:r>
    </w:p>
    <w:tbl>
      <w:tblPr>
        <w:tblStyle w:val="PlainTable2"/>
        <w:tblW w:w="0" w:type="auto"/>
        <w:tblLook w:val="04A0" w:firstRow="1" w:lastRow="0" w:firstColumn="1" w:lastColumn="0" w:noHBand="0" w:noVBand="1"/>
      </w:tblPr>
      <w:tblGrid>
        <w:gridCol w:w="2065"/>
        <w:gridCol w:w="3420"/>
        <w:gridCol w:w="3865"/>
      </w:tblGrid>
      <w:tr w:rsidR="000935BB" w14:paraId="41DCEFF7" w14:textId="77777777" w:rsidTr="00320235">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065" w:type="dxa"/>
          </w:tcPr>
          <w:p w14:paraId="7DAAE8D6" w14:textId="22527006" w:rsidR="000935BB" w:rsidRPr="006963F2" w:rsidRDefault="00964B15" w:rsidP="00D6627F">
            <w:pPr>
              <w:jc w:val="center"/>
              <w:rPr>
                <w:rFonts w:ascii="Times New Roman" w:hAnsi="Times New Roman" w:cs="Times New Roman"/>
                <w:sz w:val="20"/>
                <w:szCs w:val="20"/>
              </w:rPr>
            </w:pPr>
            <w:r w:rsidRPr="006963F2">
              <w:rPr>
                <w:rFonts w:ascii="Times New Roman" w:hAnsi="Times New Roman" w:cs="Times New Roman"/>
                <w:sz w:val="20"/>
                <w:szCs w:val="20"/>
              </w:rPr>
              <w:t>Dimension</w:t>
            </w:r>
          </w:p>
        </w:tc>
        <w:tc>
          <w:tcPr>
            <w:tcW w:w="3420" w:type="dxa"/>
          </w:tcPr>
          <w:p w14:paraId="20B35035" w14:textId="665C3011" w:rsidR="000935BB" w:rsidRPr="006963F2" w:rsidRDefault="0081269B" w:rsidP="00D6627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63F2">
              <w:rPr>
                <w:rFonts w:ascii="Times New Roman" w:hAnsi="Times New Roman" w:cs="Times New Roman"/>
                <w:sz w:val="20"/>
                <w:szCs w:val="20"/>
              </w:rPr>
              <w:t>Classic / Traditional Safety Training</w:t>
            </w:r>
          </w:p>
        </w:tc>
        <w:tc>
          <w:tcPr>
            <w:tcW w:w="3865" w:type="dxa"/>
          </w:tcPr>
          <w:p w14:paraId="1A18BB7A" w14:textId="323A00E8" w:rsidR="000935BB" w:rsidRPr="006963F2" w:rsidRDefault="0081269B" w:rsidP="00D6627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963F2">
              <w:rPr>
                <w:rFonts w:ascii="Times New Roman" w:hAnsi="Times New Roman" w:cs="Times New Roman"/>
                <w:sz w:val="20"/>
                <w:szCs w:val="20"/>
              </w:rPr>
              <w:t>Antifragile Safety Training</w:t>
            </w:r>
          </w:p>
        </w:tc>
      </w:tr>
      <w:tr w:rsidR="000935BB" w14:paraId="71021FB4" w14:textId="77777777" w:rsidTr="00320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3EEBCDB" w14:textId="003D21FE" w:rsidR="000935BB" w:rsidRPr="008C6450" w:rsidRDefault="00E270A0"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Primary objective</w:t>
            </w:r>
          </w:p>
        </w:tc>
        <w:tc>
          <w:tcPr>
            <w:tcW w:w="3420" w:type="dxa"/>
          </w:tcPr>
          <w:p w14:paraId="08D00D81" w14:textId="7164610B" w:rsidR="000935BB" w:rsidRPr="008C6450" w:rsidRDefault="00E1041E"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Compliance, rule learning,</w:t>
            </w:r>
            <w:r w:rsidR="00F51F05" w:rsidRPr="008C6450">
              <w:rPr>
                <w:rFonts w:asciiTheme="majorBidi" w:hAnsiTheme="majorBidi" w:cstheme="majorBidi"/>
                <w:sz w:val="20"/>
                <w:szCs w:val="20"/>
              </w:rPr>
              <w:t xml:space="preserve"> </w:t>
            </w:r>
            <w:r w:rsidRPr="008C6450">
              <w:rPr>
                <w:rFonts w:asciiTheme="majorBidi" w:hAnsiTheme="majorBidi" w:cstheme="majorBidi"/>
                <w:sz w:val="20"/>
                <w:szCs w:val="20"/>
              </w:rPr>
              <w:t>procedural recall</w:t>
            </w:r>
          </w:p>
        </w:tc>
        <w:tc>
          <w:tcPr>
            <w:tcW w:w="3865" w:type="dxa"/>
          </w:tcPr>
          <w:p w14:paraId="30A2CF94" w14:textId="7E2F71F3" w:rsidR="000935BB" w:rsidRPr="008C6450" w:rsidRDefault="005C56ED"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Adaptive competence under variability and uncertainty </w:t>
            </w:r>
            <w:r w:rsidR="006860CE">
              <w:rPr>
                <w:rFonts w:asciiTheme="majorBidi" w:hAnsiTheme="majorBidi" w:cstheme="majorBidi"/>
                <w:sz w:val="20"/>
                <w:szCs w:val="20"/>
              </w:rPr>
              <w:fldChar w:fldCharType="begin"/>
            </w:r>
            <w:r w:rsidR="00BA1F37">
              <w:rPr>
                <w:rFonts w:asciiTheme="majorBidi" w:hAnsiTheme="majorBidi" w:cstheme="majorBidi"/>
                <w:sz w:val="20"/>
                <w:szCs w:val="20"/>
              </w:rPr>
              <w:instrText xml:space="preserve"> ADDIN EN.CITE &lt;EndNote&gt;&lt;Cite&gt;&lt;Author&gt;Ham&lt;/Author&gt;&lt;Year&gt;2021&lt;/Year&gt;&lt;RecNum&gt;3&lt;/RecNum&gt;&lt;DisplayText&gt;[2]&lt;/DisplayText&gt;&lt;record&gt;&lt;rec-number&gt;3&lt;/rec-number&gt;&lt;foreign-keys&gt;&lt;key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EndNote&gt;</w:instrText>
            </w:r>
            <w:r w:rsidR="006860CE">
              <w:rPr>
                <w:rFonts w:asciiTheme="majorBidi" w:hAnsiTheme="majorBidi" w:cstheme="majorBidi"/>
                <w:sz w:val="20"/>
                <w:szCs w:val="20"/>
              </w:rPr>
              <w:fldChar w:fldCharType="separate"/>
            </w:r>
            <w:r w:rsidR="00BA1F37">
              <w:rPr>
                <w:rFonts w:asciiTheme="majorBidi" w:hAnsiTheme="majorBidi" w:cstheme="majorBidi"/>
                <w:noProof/>
                <w:sz w:val="20"/>
                <w:szCs w:val="20"/>
              </w:rPr>
              <w:t>[2]</w:t>
            </w:r>
            <w:r w:rsidR="006860CE">
              <w:rPr>
                <w:rFonts w:asciiTheme="majorBidi" w:hAnsiTheme="majorBidi" w:cstheme="majorBidi"/>
                <w:sz w:val="20"/>
                <w:szCs w:val="20"/>
              </w:rPr>
              <w:fldChar w:fldCharType="end"/>
            </w:r>
          </w:p>
        </w:tc>
      </w:tr>
      <w:tr w:rsidR="000935BB" w14:paraId="1455C889" w14:textId="77777777" w:rsidTr="00320235">
        <w:tc>
          <w:tcPr>
            <w:cnfStyle w:val="001000000000" w:firstRow="0" w:lastRow="0" w:firstColumn="1" w:lastColumn="0" w:oddVBand="0" w:evenVBand="0" w:oddHBand="0" w:evenHBand="0" w:firstRowFirstColumn="0" w:firstRowLastColumn="0" w:lastRowFirstColumn="0" w:lastRowLastColumn="0"/>
            <w:tcW w:w="2065" w:type="dxa"/>
          </w:tcPr>
          <w:p w14:paraId="79872C68" w14:textId="551CC88D" w:rsidR="000935BB" w:rsidRPr="008C6450" w:rsidRDefault="00027428"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Safety logic</w:t>
            </w:r>
          </w:p>
        </w:tc>
        <w:tc>
          <w:tcPr>
            <w:tcW w:w="3420" w:type="dxa"/>
          </w:tcPr>
          <w:p w14:paraId="51BF80E6" w14:textId="3D9A252E" w:rsidR="000935BB" w:rsidRPr="008C6450" w:rsidRDefault="00F51F05"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Safety-I: reduce errors, prevent recurrence</w:t>
            </w:r>
          </w:p>
        </w:tc>
        <w:tc>
          <w:tcPr>
            <w:tcW w:w="3865" w:type="dxa"/>
          </w:tcPr>
          <w:p w14:paraId="3AC0DFC8" w14:textId="477F8EB0" w:rsidR="000935BB" w:rsidRPr="008C6450" w:rsidRDefault="005C56ED"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Safety-I </w:t>
            </w:r>
            <w:r w:rsidR="00160D6E">
              <w:rPr>
                <w:rFonts w:asciiTheme="majorBidi" w:hAnsiTheme="majorBidi" w:cstheme="majorBidi"/>
                <w:sz w:val="20"/>
                <w:szCs w:val="20"/>
              </w:rPr>
              <w:t>+</w:t>
            </w:r>
            <w:r w:rsidRPr="008C6450">
              <w:rPr>
                <w:rFonts w:asciiTheme="majorBidi" w:hAnsiTheme="majorBidi" w:cstheme="majorBidi"/>
                <w:sz w:val="20"/>
                <w:szCs w:val="20"/>
              </w:rPr>
              <w:t xml:space="preserve"> Safety-II: learn from failure and success conditions </w:t>
            </w:r>
            <w:r w:rsidR="006860CE">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&lt;EndNote&gt;&lt;Cite&gt;&lt;Author&gt;Ham&lt;/Author&gt;&lt;Year&gt;2021&lt;/Year&gt;&lt;RecNum&gt;3&lt;/RecNum&gt;&lt;DisplayText&gt;[2, 4]&lt;/DisplayText&gt;&lt;record&gt;&lt;rec-number&gt;3&lt;/rec-number&gt;&lt;foreign-keys&gt;&lt;key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Cite&gt;&lt;Author&gt;De Leo&lt;/Author&gt;&lt;Year&gt;2023&lt;/Year&gt;&lt;RecNum&gt;5&lt;/RecNum&gt;&lt;record&gt;&lt;rec-number&gt;5&lt;/rec-number&gt;&lt;foreign-keys&gt;&lt;key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6860CE">
              <w:rPr>
                <w:rFonts w:asciiTheme="majorBidi" w:hAnsiTheme="majorBidi" w:cstheme="majorBidi"/>
                <w:sz w:val="20"/>
                <w:szCs w:val="20"/>
              </w:rPr>
              <w:fldChar w:fldCharType="separate"/>
            </w:r>
            <w:r w:rsidR="00647CF6">
              <w:rPr>
                <w:rFonts w:asciiTheme="majorBidi" w:hAnsiTheme="majorBidi" w:cstheme="majorBidi"/>
                <w:noProof/>
                <w:sz w:val="20"/>
                <w:szCs w:val="20"/>
              </w:rPr>
              <w:t>[2, 4]</w:t>
            </w:r>
            <w:r w:rsidR="006860CE">
              <w:rPr>
                <w:rFonts w:asciiTheme="majorBidi" w:hAnsiTheme="majorBidi" w:cstheme="majorBidi"/>
                <w:sz w:val="20"/>
                <w:szCs w:val="20"/>
              </w:rPr>
              <w:fldChar w:fldCharType="end"/>
            </w:r>
          </w:p>
        </w:tc>
      </w:tr>
      <w:tr w:rsidR="000935BB" w14:paraId="1FFC299F" w14:textId="77777777" w:rsidTr="00320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9FAF12F" w14:textId="1FFACD7A" w:rsidR="000935BB" w:rsidRPr="008C6450" w:rsidRDefault="00027428"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lastRenderedPageBreak/>
              <w:t>Role of error &amp; near</w:t>
            </w:r>
            <w:r w:rsidR="00AA3673">
              <w:rPr>
                <w:rFonts w:asciiTheme="majorBidi" w:hAnsiTheme="majorBidi" w:cstheme="majorBidi"/>
                <w:b w:val="0"/>
                <w:bCs w:val="0"/>
                <w:sz w:val="20"/>
                <w:szCs w:val="20"/>
              </w:rPr>
              <w:t>-</w:t>
            </w:r>
            <w:r w:rsidRPr="008C6450">
              <w:rPr>
                <w:rFonts w:asciiTheme="majorBidi" w:hAnsiTheme="majorBidi" w:cstheme="majorBidi"/>
                <w:b w:val="0"/>
                <w:bCs w:val="0"/>
                <w:sz w:val="20"/>
                <w:szCs w:val="20"/>
              </w:rPr>
              <w:t>misses</w:t>
            </w:r>
          </w:p>
        </w:tc>
        <w:tc>
          <w:tcPr>
            <w:tcW w:w="3420" w:type="dxa"/>
          </w:tcPr>
          <w:p w14:paraId="6B036180" w14:textId="528DBB81" w:rsidR="000935BB" w:rsidRPr="008C6450" w:rsidRDefault="00203BA2"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Undesirable deviations to record and close</w:t>
            </w:r>
          </w:p>
        </w:tc>
        <w:tc>
          <w:tcPr>
            <w:tcW w:w="3865" w:type="dxa"/>
          </w:tcPr>
          <w:p w14:paraId="7BC06C00" w14:textId="6F233FC5" w:rsidR="000935BB" w:rsidRPr="008C6450" w:rsidRDefault="005C56ED"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High-value learning signals; inputs for scenario design and capability strengthening </w:t>
            </w:r>
            <w:r w:rsidR="00216E3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&lt;EndNote&gt;&lt;Cite&gt;&lt;Author&gt;De Leo&lt;/Author&gt;&lt;Year&gt;2023&lt;/Year&gt;&lt;RecNum&gt;5&lt;/RecNum&gt;&lt;DisplayText&gt;[4, 5]&lt;/DisplayText&gt;&lt;record&gt;&lt;rec-number&gt;5&lt;/rec-number&gt;&lt;foreign-keys&gt;&lt;key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Cite&gt;&lt;Author&gt;Gnoni&lt;/Author&gt;&lt;Year&gt;2022&lt;/Year&gt;&lt;RecNum&gt;6&lt;/RecNum&gt;&lt;record&gt;&lt;rec-number&gt;6&lt;/rec-number&gt;&lt;foreign-keys&gt;&lt;key app="EN" db-id="dz0tx9r22vexwlee5zcv2d92r92sp99dxwfv" timestamp="1766498252"&gt;6&lt;/key&gt;&lt;/foreign-keys&gt;&lt;ref-type name="Journal Article"&gt;17&lt;/ref-type&gt;&lt;contributors&gt;&lt;authors&gt;&lt;author&gt;Gnoni, Maria Grazia&lt;/author&gt;&lt;author&gt;Tornese, Fabiana&lt;/author&gt;&lt;author&gt;Guglielmi, A&lt;/author&gt;&lt;author&gt;Pellicci, M&lt;/author&gt;&lt;author&gt;Campo, G&lt;/author&gt;&lt;author&gt;De Merich, D&lt;/author&gt;&lt;/authors&gt;&lt;/contributors&gt;&lt;titles&gt;&lt;title&gt;Near miss management systems in the industrial sector: A literature review&lt;/title&gt;&lt;secondary-title&gt;Safety science&lt;/secondary-title&gt;&lt;/titles&gt;&lt;periodical&gt;&lt;full-title&gt;Safety science&lt;/full-title&gt;&lt;/periodical&gt;&lt;pages&gt;105704&lt;/pages&gt;&lt;volume&gt;150&lt;/volume&gt;&lt;dates&gt;&lt;year&gt;2022&lt;/year&gt;&lt;/dates&gt;&lt;isbn&gt;0925-7535&lt;/isbn&gt;&lt;urls&gt;&lt;/urls&gt;&lt;/record&gt;&lt;/Cite&gt;&lt;/EndNote&gt;</w:instrText>
            </w:r>
            <w:r w:rsidR="00216E37">
              <w:rPr>
                <w:rFonts w:asciiTheme="majorBidi" w:hAnsiTheme="majorBidi" w:cstheme="majorBidi"/>
                <w:sz w:val="20"/>
                <w:szCs w:val="20"/>
              </w:rPr>
              <w:fldChar w:fldCharType="separate"/>
            </w:r>
            <w:r w:rsidR="00647CF6">
              <w:rPr>
                <w:rFonts w:asciiTheme="majorBidi" w:hAnsiTheme="majorBidi" w:cstheme="majorBidi"/>
                <w:noProof/>
                <w:sz w:val="20"/>
                <w:szCs w:val="20"/>
              </w:rPr>
              <w:t>[4, 5]</w:t>
            </w:r>
            <w:r w:rsidR="00216E37">
              <w:rPr>
                <w:rFonts w:asciiTheme="majorBidi" w:hAnsiTheme="majorBidi" w:cstheme="majorBidi"/>
                <w:sz w:val="20"/>
                <w:szCs w:val="20"/>
              </w:rPr>
              <w:fldChar w:fldCharType="end"/>
            </w:r>
          </w:p>
        </w:tc>
      </w:tr>
      <w:tr w:rsidR="000935BB" w14:paraId="51760DD8" w14:textId="77777777" w:rsidTr="00320235">
        <w:tc>
          <w:tcPr>
            <w:cnfStyle w:val="001000000000" w:firstRow="0" w:lastRow="0" w:firstColumn="1" w:lastColumn="0" w:oddVBand="0" w:evenVBand="0" w:oddHBand="0" w:evenHBand="0" w:firstRowFirstColumn="0" w:firstRowLastColumn="0" w:lastRowFirstColumn="0" w:lastRowLastColumn="0"/>
            <w:tcW w:w="2065" w:type="dxa"/>
          </w:tcPr>
          <w:p w14:paraId="27D588B6" w14:textId="65BD0305" w:rsidR="000935BB" w:rsidRPr="008C6450" w:rsidRDefault="00027428"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Dominant method</w:t>
            </w:r>
          </w:p>
        </w:tc>
        <w:tc>
          <w:tcPr>
            <w:tcW w:w="3420" w:type="dxa"/>
          </w:tcPr>
          <w:p w14:paraId="45EA80B0" w14:textId="3E462624" w:rsidR="000935BB" w:rsidRPr="008C6450" w:rsidRDefault="00203BA2"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Classroom lecture, static materials, end-of-course testing</w:t>
            </w:r>
          </w:p>
        </w:tc>
        <w:tc>
          <w:tcPr>
            <w:tcW w:w="3865" w:type="dxa"/>
          </w:tcPr>
          <w:p w14:paraId="5057C038" w14:textId="3A4DD297" w:rsidR="000935BB" w:rsidRPr="008C6450" w:rsidRDefault="003D1A00"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Scenario-based rehearsal, OTS/VR-supported practice, iterative cycles </w:t>
            </w:r>
            <w:r w:rsidR="00AF5BE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&lt;EndNote&gt;&lt;Cite&gt;&lt;Author&gt;Lee&lt;/Author&gt;&lt;Year&gt;2023&lt;/Year&gt;&lt;RecNum&gt;7&lt;/RecNum&gt;&lt;DisplayText&gt;[1, 6]&lt;/DisplayText&gt;&lt;record&gt;&lt;rec-number&gt;7&lt;/rec-number&gt;&lt;foreign-keys&gt;&lt;key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Cite&gt;&lt;Author&gt;Scorgie&lt;/Author&gt;&lt;Year&gt;2024&lt;/Year&gt;&lt;RecNum&gt;1&lt;/RecNum&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science&lt;/full-title&gt;&lt;/periodical&gt;&lt;pages&gt;106372&lt;/pages&gt;&lt;volume&gt;171&lt;/volume&gt;&lt;dates&gt;&lt;year&gt;2024&lt;/year&gt;&lt;/dates&gt;&lt;isbn&gt;0925-7535&lt;/isbn&gt;&lt;urls&gt;&lt;/urls&gt;&lt;/record&gt;&lt;/Cite&gt;&lt;/EndNote&gt;</w:instrText>
            </w:r>
            <w:r w:rsidR="00AF5BE7">
              <w:rPr>
                <w:rFonts w:asciiTheme="majorBidi" w:hAnsiTheme="majorBidi" w:cstheme="majorBidi"/>
                <w:sz w:val="20"/>
                <w:szCs w:val="20"/>
              </w:rPr>
              <w:fldChar w:fldCharType="separate"/>
            </w:r>
            <w:r w:rsidR="00647CF6">
              <w:rPr>
                <w:rFonts w:asciiTheme="majorBidi" w:hAnsiTheme="majorBidi" w:cstheme="majorBidi"/>
                <w:noProof/>
                <w:sz w:val="20"/>
                <w:szCs w:val="20"/>
              </w:rPr>
              <w:t>[1, 6]</w:t>
            </w:r>
            <w:r w:rsidR="00AF5BE7">
              <w:rPr>
                <w:rFonts w:asciiTheme="majorBidi" w:hAnsiTheme="majorBidi" w:cstheme="majorBidi"/>
                <w:sz w:val="20"/>
                <w:szCs w:val="20"/>
              </w:rPr>
              <w:fldChar w:fldCharType="end"/>
            </w:r>
          </w:p>
        </w:tc>
      </w:tr>
      <w:tr w:rsidR="000935BB" w14:paraId="499D9044" w14:textId="77777777" w:rsidTr="00320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8FDE7B8" w14:textId="0FE9C915" w:rsidR="0066098D" w:rsidRPr="008C6450" w:rsidRDefault="0066098D"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Feedback</w:t>
            </w:r>
          </w:p>
        </w:tc>
        <w:tc>
          <w:tcPr>
            <w:tcW w:w="3420" w:type="dxa"/>
          </w:tcPr>
          <w:p w14:paraId="7FAF45EC" w14:textId="0ED08B55" w:rsidR="000935BB" w:rsidRPr="008C6450" w:rsidRDefault="00203BA2"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Delayed, generic, periodic</w:t>
            </w:r>
          </w:p>
        </w:tc>
        <w:tc>
          <w:tcPr>
            <w:tcW w:w="3865" w:type="dxa"/>
          </w:tcPr>
          <w:p w14:paraId="021A64E7" w14:textId="1EB7181E" w:rsidR="000935BB" w:rsidRPr="008C6450" w:rsidRDefault="003D1A00"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Rapid, specific, performance-contingent feedback </w:t>
            </w:r>
            <w:r w:rsidR="00D94B3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&lt;EndNote&gt;&lt;Cite&gt;&lt;Author&gt;Spigener&lt;/Author&gt;&lt;Year&gt;2022&lt;/Year&gt;&lt;RecNum&gt;8&lt;/RecNum&gt;&lt;DisplayText&gt;[7, 8]&lt;/DisplayText&gt;&lt;record&gt;&lt;rec-number&gt;8&lt;/rec-number&gt;&lt;foreign-keys&gt;&lt;key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Cite&gt;&lt;Author&gt;Carra&lt;/Author&gt;&lt;Year&gt;2024&lt;/Year&gt;&lt;RecNum&gt;9&lt;/RecNum&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sidR="00D94B37">
              <w:rPr>
                <w:rFonts w:asciiTheme="majorBidi" w:hAnsiTheme="majorBidi" w:cstheme="majorBidi"/>
                <w:sz w:val="20"/>
                <w:szCs w:val="20"/>
              </w:rPr>
              <w:fldChar w:fldCharType="separate"/>
            </w:r>
            <w:r w:rsidR="00647CF6">
              <w:rPr>
                <w:rFonts w:asciiTheme="majorBidi" w:hAnsiTheme="majorBidi" w:cstheme="majorBidi"/>
                <w:noProof/>
                <w:sz w:val="20"/>
                <w:szCs w:val="20"/>
              </w:rPr>
              <w:t>[7, 8]</w:t>
            </w:r>
            <w:r w:rsidR="00D94B37">
              <w:rPr>
                <w:rFonts w:asciiTheme="majorBidi" w:hAnsiTheme="majorBidi" w:cstheme="majorBidi"/>
                <w:sz w:val="20"/>
                <w:szCs w:val="20"/>
              </w:rPr>
              <w:fldChar w:fldCharType="end"/>
            </w:r>
          </w:p>
        </w:tc>
      </w:tr>
      <w:tr w:rsidR="0066098D" w14:paraId="55A1D636" w14:textId="77777777" w:rsidTr="00320235">
        <w:tc>
          <w:tcPr>
            <w:cnfStyle w:val="001000000000" w:firstRow="0" w:lastRow="0" w:firstColumn="1" w:lastColumn="0" w:oddVBand="0" w:evenVBand="0" w:oddHBand="0" w:evenHBand="0" w:firstRowFirstColumn="0" w:firstRowLastColumn="0" w:lastRowFirstColumn="0" w:lastRowLastColumn="0"/>
            <w:tcW w:w="2065" w:type="dxa"/>
          </w:tcPr>
          <w:p w14:paraId="7D02D03F" w14:textId="33D9A0A7" w:rsidR="0066098D" w:rsidRPr="008C6450" w:rsidRDefault="00B05C64"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Success metrics</w:t>
            </w:r>
          </w:p>
        </w:tc>
        <w:tc>
          <w:tcPr>
            <w:tcW w:w="3420" w:type="dxa"/>
          </w:tcPr>
          <w:p w14:paraId="6FFC0043" w14:textId="20E4E86D" w:rsidR="0066098D" w:rsidRPr="008C6450" w:rsidRDefault="00EA3CA0"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Attendance, test scores,</w:t>
            </w:r>
            <w:r w:rsidR="00566F7B" w:rsidRPr="008C6450">
              <w:rPr>
                <w:rFonts w:asciiTheme="majorBidi" w:hAnsiTheme="majorBidi" w:cstheme="majorBidi"/>
                <w:sz w:val="20"/>
                <w:szCs w:val="20"/>
              </w:rPr>
              <w:t xml:space="preserve"> </w:t>
            </w:r>
            <w:r w:rsidRPr="008C6450">
              <w:rPr>
                <w:rFonts w:asciiTheme="majorBidi" w:hAnsiTheme="majorBidi" w:cstheme="majorBidi"/>
                <w:sz w:val="20"/>
                <w:szCs w:val="20"/>
              </w:rPr>
              <w:t>completion rates</w:t>
            </w:r>
          </w:p>
        </w:tc>
        <w:tc>
          <w:tcPr>
            <w:tcW w:w="3865" w:type="dxa"/>
          </w:tcPr>
          <w:p w14:paraId="31A30273" w14:textId="5530690C" w:rsidR="0066098D" w:rsidRPr="008C6450" w:rsidRDefault="003D1A00"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Observable behavior change, decision quality in scenarios, leading indicators </w:t>
            </w:r>
            <w:r w:rsidR="00974CA8">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&lt;EndNote&gt;&lt;Cite&gt;&lt;Author&gt;Gnoni&lt;/Author&gt;&lt;Year&gt;2022&lt;/Year&gt;&lt;RecNum&gt;6&lt;/RecNum&gt;&lt;DisplayText&gt;[5, 7]&lt;/DisplayText&gt;&lt;record&gt;&lt;rec-number&gt;6&lt;/rec-number&gt;&lt;foreign-keys&gt;&lt;key app="EN" db-id="dz0tx9r22vexwlee5zcv2d92r92sp99dxwfv" timestamp="1766498252"&gt;6&lt;/key&gt;&lt;/foreign-keys&gt;&lt;ref-type name="Journal Article"&gt;17&lt;/ref-type&gt;&lt;contributors&gt;&lt;authors&gt;&lt;author&gt;Gnoni, Maria Grazia&lt;/author&gt;&lt;author&gt;Tornese, Fabiana&lt;/author&gt;&lt;author&gt;Guglielmi, A&lt;/author&gt;&lt;author&gt;Pellicci, M&lt;/author&gt;&lt;author&gt;Campo, G&lt;/author&gt;&lt;author&gt;De Merich, D&lt;/author&gt;&lt;/authors&gt;&lt;/contributors&gt;&lt;titles&gt;&lt;title&gt;Near miss management systems in the industrial sector: A literature review&lt;/title&gt;&lt;secondary-title&gt;Safety science&lt;/secondary-title&gt;&lt;/titles&gt;&lt;periodical&gt;&lt;full-title&gt;Safety science&lt;/full-title&gt;&lt;/periodical&gt;&lt;pages&gt;105704&lt;/pages&gt;&lt;volume&gt;150&lt;/volume&gt;&lt;dates&gt;&lt;year&gt;2022&lt;/year&gt;&lt;/dates&gt;&lt;isbn&gt;0925-7535&lt;/isbn&gt;&lt;urls&gt;&lt;/urls&gt;&lt;/record&gt;&lt;/Cite&gt;&lt;Cite&gt;&lt;Author&gt;Spigener&lt;/Author&gt;&lt;Year&gt;2022&lt;/Year&gt;&lt;RecNum&gt;8&lt;/RecNum&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sidR="00974CA8">
              <w:rPr>
                <w:rFonts w:asciiTheme="majorBidi" w:hAnsiTheme="majorBidi" w:cstheme="majorBidi"/>
                <w:sz w:val="20"/>
                <w:szCs w:val="20"/>
              </w:rPr>
              <w:fldChar w:fldCharType="separate"/>
            </w:r>
            <w:r w:rsidR="00647CF6">
              <w:rPr>
                <w:rFonts w:asciiTheme="majorBidi" w:hAnsiTheme="majorBidi" w:cstheme="majorBidi"/>
                <w:noProof/>
                <w:sz w:val="20"/>
                <w:szCs w:val="20"/>
              </w:rPr>
              <w:t>[5, 7]</w:t>
            </w:r>
            <w:r w:rsidR="00974CA8">
              <w:rPr>
                <w:rFonts w:asciiTheme="majorBidi" w:hAnsiTheme="majorBidi" w:cstheme="majorBidi"/>
                <w:sz w:val="20"/>
                <w:szCs w:val="20"/>
              </w:rPr>
              <w:fldChar w:fldCharType="end"/>
            </w:r>
          </w:p>
        </w:tc>
      </w:tr>
      <w:tr w:rsidR="00B05C64" w14:paraId="02446F4F" w14:textId="77777777" w:rsidTr="00320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F0128BA" w14:textId="1EBEB62E" w:rsidR="00B05C64" w:rsidRPr="008C6450" w:rsidRDefault="00B05C64"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Relation to real work</w:t>
            </w:r>
          </w:p>
        </w:tc>
        <w:tc>
          <w:tcPr>
            <w:tcW w:w="3420" w:type="dxa"/>
          </w:tcPr>
          <w:p w14:paraId="1A8459EA" w14:textId="1D45B52A" w:rsidR="00B05C64" w:rsidRPr="008C6450" w:rsidRDefault="00EA3CA0"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“Work-as-imagined” dominates</w:t>
            </w:r>
          </w:p>
        </w:tc>
        <w:tc>
          <w:tcPr>
            <w:tcW w:w="3865" w:type="dxa"/>
          </w:tcPr>
          <w:p w14:paraId="627A20AD" w14:textId="30A310F7" w:rsidR="00B05C64" w:rsidRPr="008C6450" w:rsidRDefault="00B51459" w:rsidP="00D6627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Closer to “work-as-done” through operationally derived scenarios </w:t>
            </w:r>
            <w:r w:rsidR="009D6C9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&lt;EndNote&gt;&lt;Cite&gt;&lt;Author&gt;Ham&lt;/Author&gt;&lt;Year&gt;2021&lt;/Year&gt;&lt;RecNum&gt;3&lt;/RecNum&gt;&lt;DisplayText&gt;[2, 4]&lt;/DisplayText&gt;&lt;record&gt;&lt;rec-number&gt;3&lt;/rec-number&gt;&lt;foreign-keys&gt;&lt;key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Cite&gt;&lt;Author&gt;De Leo&lt;/Author&gt;&lt;Year&gt;2023&lt;/Year&gt;&lt;RecNum&gt;5&lt;/RecNum&gt;&lt;record&gt;&lt;rec-number&gt;5&lt;/rec-number&gt;&lt;foreign-keys&gt;&lt;key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9D6C97">
              <w:rPr>
                <w:rFonts w:asciiTheme="majorBidi" w:hAnsiTheme="majorBidi" w:cstheme="majorBidi"/>
                <w:sz w:val="20"/>
                <w:szCs w:val="20"/>
              </w:rPr>
              <w:fldChar w:fldCharType="separate"/>
            </w:r>
            <w:r w:rsidR="00647CF6">
              <w:rPr>
                <w:rFonts w:asciiTheme="majorBidi" w:hAnsiTheme="majorBidi" w:cstheme="majorBidi"/>
                <w:noProof/>
                <w:sz w:val="20"/>
                <w:szCs w:val="20"/>
              </w:rPr>
              <w:t>[2, 4]</w:t>
            </w:r>
            <w:r w:rsidR="009D6C97">
              <w:rPr>
                <w:rFonts w:asciiTheme="majorBidi" w:hAnsiTheme="majorBidi" w:cstheme="majorBidi"/>
                <w:sz w:val="20"/>
                <w:szCs w:val="20"/>
              </w:rPr>
              <w:fldChar w:fldCharType="end"/>
            </w:r>
          </w:p>
        </w:tc>
      </w:tr>
      <w:tr w:rsidR="009441A9" w14:paraId="4CC14392" w14:textId="77777777" w:rsidTr="00320235">
        <w:tc>
          <w:tcPr>
            <w:cnfStyle w:val="001000000000" w:firstRow="0" w:lastRow="0" w:firstColumn="1" w:lastColumn="0" w:oddVBand="0" w:evenVBand="0" w:oddHBand="0" w:evenHBand="0" w:firstRowFirstColumn="0" w:firstRowLastColumn="0" w:lastRowFirstColumn="0" w:lastRowLastColumn="0"/>
            <w:tcW w:w="2065" w:type="dxa"/>
          </w:tcPr>
          <w:p w14:paraId="06D26DA3" w14:textId="6F64EE38" w:rsidR="009441A9" w:rsidRPr="008C6450" w:rsidRDefault="009441A9" w:rsidP="00D6627F">
            <w:pPr>
              <w:jc w:val="center"/>
              <w:rPr>
                <w:rFonts w:asciiTheme="majorBidi" w:hAnsiTheme="majorBidi" w:cstheme="majorBidi"/>
                <w:b w:val="0"/>
                <w:bCs w:val="0"/>
                <w:sz w:val="20"/>
                <w:szCs w:val="20"/>
              </w:rPr>
            </w:pPr>
            <w:r w:rsidRPr="008C6450">
              <w:rPr>
                <w:rFonts w:asciiTheme="majorBidi" w:hAnsiTheme="majorBidi" w:cstheme="majorBidi"/>
                <w:b w:val="0"/>
                <w:bCs w:val="0"/>
                <w:sz w:val="20"/>
                <w:szCs w:val="20"/>
              </w:rPr>
              <w:t>Expected output</w:t>
            </w:r>
          </w:p>
        </w:tc>
        <w:tc>
          <w:tcPr>
            <w:tcW w:w="3420" w:type="dxa"/>
          </w:tcPr>
          <w:p w14:paraId="51C4A96E" w14:textId="0782BDA9" w:rsidR="009441A9" w:rsidRPr="008C6450" w:rsidRDefault="00A533E2"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“Knows the rules</w:t>
            </w:r>
            <w:r w:rsidR="000E4E32" w:rsidRPr="008C6450">
              <w:rPr>
                <w:rFonts w:asciiTheme="majorBidi" w:hAnsiTheme="majorBidi" w:cstheme="majorBidi"/>
                <w:sz w:val="20"/>
                <w:szCs w:val="20"/>
              </w:rPr>
              <w:t>.</w:t>
            </w:r>
            <w:r w:rsidRPr="008C6450">
              <w:rPr>
                <w:rFonts w:asciiTheme="majorBidi" w:hAnsiTheme="majorBidi" w:cstheme="majorBidi"/>
                <w:sz w:val="20"/>
                <w:szCs w:val="20"/>
              </w:rPr>
              <w:t>”</w:t>
            </w:r>
          </w:p>
        </w:tc>
        <w:tc>
          <w:tcPr>
            <w:tcW w:w="3865" w:type="dxa"/>
          </w:tcPr>
          <w:p w14:paraId="00A4C90A" w14:textId="091E5498" w:rsidR="009441A9" w:rsidRPr="008C6450" w:rsidRDefault="00B51459" w:rsidP="00D6627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8C6450">
              <w:rPr>
                <w:rFonts w:asciiTheme="majorBidi" w:hAnsiTheme="majorBidi" w:cstheme="majorBidi"/>
                <w:sz w:val="20"/>
                <w:szCs w:val="20"/>
              </w:rPr>
              <w:t xml:space="preserve">“Performs safely and improves through controlled perturbations” </w:t>
            </w:r>
            <w:r w:rsidR="00DD31B6">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&lt;EndNote&gt;&lt;Cite&gt;&lt;Author&gt;Martinetti&lt;/Author&gt;&lt;Year&gt;2019&lt;/Year&gt;&lt;RecNum&gt;4&lt;/RecNum&gt;&lt;DisplayText&gt;[9]&lt;/DisplayText&gt;&lt;record&gt;&lt;rec-number&gt;4&lt;/rec-number&gt;&lt;foreign-keys&gt;&lt;key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EndNote&gt;</w:instrText>
            </w:r>
            <w:r w:rsidR="00DD31B6">
              <w:rPr>
                <w:rFonts w:asciiTheme="majorBidi" w:hAnsiTheme="majorBidi" w:cstheme="majorBidi"/>
                <w:sz w:val="20"/>
                <w:szCs w:val="20"/>
              </w:rPr>
              <w:fldChar w:fldCharType="separate"/>
            </w:r>
            <w:r w:rsidR="00647CF6">
              <w:rPr>
                <w:rFonts w:asciiTheme="majorBidi" w:hAnsiTheme="majorBidi" w:cstheme="majorBidi"/>
                <w:noProof/>
                <w:sz w:val="20"/>
                <w:szCs w:val="20"/>
              </w:rPr>
              <w:t>[9]</w:t>
            </w:r>
            <w:r w:rsidR="00DD31B6">
              <w:rPr>
                <w:rFonts w:asciiTheme="majorBidi" w:hAnsiTheme="majorBidi" w:cstheme="majorBidi"/>
                <w:sz w:val="20"/>
                <w:szCs w:val="20"/>
              </w:rPr>
              <w:fldChar w:fldCharType="end"/>
            </w:r>
          </w:p>
        </w:tc>
      </w:tr>
    </w:tbl>
    <w:p w14:paraId="227BFABF" w14:textId="77777777" w:rsidR="001D1CA7" w:rsidRDefault="001D1CA7" w:rsidP="007C4BEC">
      <w:pPr>
        <w:jc w:val="both"/>
        <w:rPr>
          <w:rFonts w:asciiTheme="majorBidi" w:hAnsiTheme="majorBidi" w:cstheme="majorBidi"/>
          <w:sz w:val="20"/>
          <w:szCs w:val="20"/>
          <w:rtl/>
        </w:rPr>
      </w:pPr>
    </w:p>
    <w:p w14:paraId="3D9D8A38" w14:textId="4FE2D763" w:rsidR="007C4BEC" w:rsidRPr="001D1CA7" w:rsidRDefault="00C70758" w:rsidP="007C4BEC">
      <w:pPr>
        <w:jc w:val="both"/>
        <w:rPr>
          <w:rFonts w:asciiTheme="majorBidi" w:hAnsiTheme="majorBidi" w:cstheme="majorBidi"/>
          <w:sz w:val="20"/>
          <w:szCs w:val="20"/>
        </w:rPr>
      </w:pPr>
      <w:r w:rsidRPr="00C70758">
        <w:rPr>
          <w:rFonts w:asciiTheme="majorBidi" w:hAnsiTheme="majorBidi" w:cstheme="majorBidi"/>
          <w:sz w:val="20"/>
          <w:szCs w:val="20"/>
        </w:rPr>
        <w:t>A particularly rich substrate for antifragility-oriented learning is systematic learning from near</w:t>
      </w:r>
      <w:r w:rsidR="00AA3673">
        <w:rPr>
          <w:rFonts w:asciiTheme="majorBidi" w:hAnsiTheme="majorBidi" w:cstheme="majorBidi"/>
          <w:sz w:val="20"/>
          <w:szCs w:val="20"/>
        </w:rPr>
        <w:t>-</w:t>
      </w:r>
      <w:r w:rsidRPr="00C70758">
        <w:rPr>
          <w:rFonts w:asciiTheme="majorBidi" w:hAnsiTheme="majorBidi" w:cstheme="majorBidi"/>
          <w:sz w:val="20"/>
          <w:szCs w:val="20"/>
        </w:rPr>
        <w:t>misses</w:t>
      </w:r>
      <w:r w:rsidR="007C4BEC" w:rsidRPr="001D1CA7">
        <w:rPr>
          <w:rFonts w:asciiTheme="majorBidi" w:hAnsiTheme="majorBidi" w:cstheme="majorBidi"/>
          <w:sz w:val="20"/>
          <w:szCs w:val="20"/>
        </w:rPr>
        <w:t>. Near</w:t>
      </w:r>
      <w:r w:rsidR="00AA3673">
        <w:rPr>
          <w:rFonts w:asciiTheme="majorBidi" w:hAnsiTheme="majorBidi" w:cstheme="majorBidi"/>
          <w:sz w:val="20"/>
          <w:szCs w:val="20"/>
        </w:rPr>
        <w:t>-</w:t>
      </w:r>
      <w:r w:rsidR="007C4BEC" w:rsidRPr="001D1CA7">
        <w:rPr>
          <w:rFonts w:asciiTheme="majorBidi" w:hAnsiTheme="majorBidi" w:cstheme="majorBidi"/>
          <w:sz w:val="20"/>
          <w:szCs w:val="20"/>
        </w:rPr>
        <w:t xml:space="preserve">misses occur more frequently than serious incidents and can serve as information-rich “weak signals” of hidden conditions, weakened controls, and emerging operational risks. The industry literature on </w:t>
      </w:r>
      <w:r w:rsidR="00AA3673">
        <w:rPr>
          <w:rFonts w:asciiTheme="majorBidi" w:hAnsiTheme="majorBidi" w:cstheme="majorBidi"/>
          <w:sz w:val="20"/>
          <w:szCs w:val="20"/>
        </w:rPr>
        <w:t>near-miss</w:t>
      </w:r>
      <w:r w:rsidR="007C4BEC" w:rsidRPr="001D1CA7">
        <w:rPr>
          <w:rFonts w:asciiTheme="majorBidi" w:hAnsiTheme="majorBidi" w:cstheme="majorBidi"/>
          <w:sz w:val="20"/>
          <w:szCs w:val="20"/>
        </w:rPr>
        <w:t xml:space="preserve"> management systems (NMMS) emphasizes their pivotal role in organizational learning, particularly in sectors exposed to major incident risks </w:t>
      </w:r>
      <w:r w:rsidR="00FD03F0">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&lt;EndNote&gt;&lt;Cite&gt;&lt;Author&gt;Gnoni&lt;/Author&gt;&lt;Year&gt;2022&lt;/Year&gt;&lt;RecNum&gt;6&lt;/RecNum&gt;&lt;DisplayText&gt;[5]&lt;/DisplayText&gt;&lt;record&gt;&lt;rec-number&gt;6&lt;/rec-number&gt;&lt;foreign-keys&gt;&lt;key app="EN" db-id="dz0tx9r22vexwlee5zcv2d92r92sp99dxwfv" timestamp="1766498252"&gt;6&lt;/key&gt;&lt;/foreign-keys&gt;&lt;ref-type name="Journal Article"&gt;17&lt;/ref-type&gt;&lt;contributors&gt;&lt;authors&gt;&lt;author&gt;Gnoni, Maria Grazia&lt;/author&gt;&lt;author&gt;Tornese, Fabiana&lt;/author&gt;&lt;author&gt;Guglielmi, A&lt;/author&gt;&lt;author&gt;Pellicci, M&lt;/author&gt;&lt;author&gt;Campo, G&lt;/author&gt;&lt;author&gt;De Merich, D&lt;/author&gt;&lt;/authors&gt;&lt;/contributors&gt;&lt;titles&gt;&lt;title&gt;Near miss management systems in the industrial sector: A literature review&lt;/title&gt;&lt;secondary-title&gt;Safety science&lt;/secondary-title&gt;&lt;/titles&gt;&lt;periodical&gt;&lt;full-title&gt;Safety science&lt;/full-title&gt;&lt;/periodical&gt;&lt;pages&gt;105704&lt;/pages&gt;&lt;volume&gt;150&lt;/volume&gt;&lt;dates&gt;&lt;year&gt;2022&lt;/year&gt;&lt;/dates&gt;&lt;isbn&gt;0925-7535&lt;/isbn&gt;&lt;urls&gt;&lt;/urls&gt;&lt;/record&gt;&lt;/Cite&gt;&lt;/EndNote&gt;</w:instrText>
      </w:r>
      <w:r w:rsidR="00FD03F0">
        <w:rPr>
          <w:rFonts w:asciiTheme="majorBidi" w:hAnsiTheme="majorBidi" w:cstheme="majorBidi"/>
          <w:sz w:val="20"/>
          <w:szCs w:val="20"/>
        </w:rPr>
        <w:fldChar w:fldCharType="separate"/>
      </w:r>
      <w:r w:rsidR="00647CF6">
        <w:rPr>
          <w:rFonts w:asciiTheme="majorBidi" w:hAnsiTheme="majorBidi" w:cstheme="majorBidi"/>
          <w:noProof/>
          <w:sz w:val="20"/>
          <w:szCs w:val="20"/>
        </w:rPr>
        <w:t>[5]</w:t>
      </w:r>
      <w:r w:rsidR="00FD03F0">
        <w:rPr>
          <w:rFonts w:asciiTheme="majorBidi" w:hAnsiTheme="majorBidi" w:cstheme="majorBidi"/>
          <w:sz w:val="20"/>
          <w:szCs w:val="20"/>
        </w:rPr>
        <w:fldChar w:fldCharType="end"/>
      </w:r>
      <w:r w:rsidR="007C4BEC" w:rsidRPr="001D1CA7">
        <w:rPr>
          <w:rFonts w:asciiTheme="majorBidi" w:hAnsiTheme="majorBidi" w:cstheme="majorBidi"/>
          <w:sz w:val="20"/>
          <w:szCs w:val="20"/>
        </w:rPr>
        <w:t>. However, in practice,</w:t>
      </w:r>
      <w:r w:rsidR="00B44B2F">
        <w:rPr>
          <w:rFonts w:asciiTheme="majorBidi" w:hAnsiTheme="majorBidi" w:cstheme="majorBidi"/>
          <w:sz w:val="20"/>
          <w:szCs w:val="20"/>
        </w:rPr>
        <w:t xml:space="preserve"> </w:t>
      </w:r>
      <w:r w:rsidR="00C10A39" w:rsidRPr="00C10A39">
        <w:rPr>
          <w:rFonts w:asciiTheme="majorBidi" w:hAnsiTheme="majorBidi" w:cstheme="majorBidi"/>
          <w:sz w:val="20"/>
          <w:szCs w:val="20"/>
        </w:rPr>
        <w:t xml:space="preserve">NMMS implementations often devolve into administrative reporting or narrow corrective-action </w:t>
      </w:r>
      <w:r w:rsidR="007C4BEC" w:rsidRPr="001D1CA7">
        <w:rPr>
          <w:rFonts w:asciiTheme="majorBidi" w:hAnsiTheme="majorBidi" w:cstheme="majorBidi"/>
          <w:sz w:val="20"/>
          <w:szCs w:val="20"/>
        </w:rPr>
        <w:t>loops, failing to transform data into meaningful learning and capability development. Recent work argues that integrating the Safety-I and Safety-II lenses can improve NMMS by capturing failure mechanisms and conditions that prevented a crisis from escalating, thereby extending learning beyond “what broke” to “what helped the system survive”</w:t>
      </w:r>
      <w:r w:rsidR="002D61B5">
        <w:rPr>
          <w:rFonts w:asciiTheme="majorBidi" w:hAnsiTheme="majorBidi" w:cstheme="majorBidi"/>
          <w:sz w:val="20"/>
          <w:szCs w:val="20"/>
        </w:rPr>
        <w:t xml:space="preserve"> </w:t>
      </w:r>
      <w:r w:rsidR="006112DE">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&lt;EndNote&gt;&lt;Cite&gt;&lt;Author&gt;De Leo&lt;/Author&gt;&lt;Year&gt;2023&lt;/Year&gt;&lt;RecNum&gt;5&lt;/RecNum&gt;&lt;DisplayText&gt;[4]&lt;/DisplayText&gt;&lt;record&gt;&lt;rec-number&gt;5&lt;/rec-number&gt;&lt;foreign-keys&gt;&lt;key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6112DE">
        <w:rPr>
          <w:rFonts w:asciiTheme="majorBidi" w:hAnsiTheme="majorBidi" w:cstheme="majorBidi"/>
          <w:sz w:val="20"/>
          <w:szCs w:val="20"/>
        </w:rPr>
        <w:fldChar w:fldCharType="separate"/>
      </w:r>
      <w:r w:rsidR="00647CF6">
        <w:rPr>
          <w:rFonts w:asciiTheme="majorBidi" w:hAnsiTheme="majorBidi" w:cstheme="majorBidi"/>
          <w:noProof/>
          <w:sz w:val="20"/>
          <w:szCs w:val="20"/>
        </w:rPr>
        <w:t>[4]</w:t>
      </w:r>
      <w:r w:rsidR="006112DE">
        <w:rPr>
          <w:rFonts w:asciiTheme="majorBidi" w:hAnsiTheme="majorBidi" w:cstheme="majorBidi"/>
          <w:sz w:val="20"/>
          <w:szCs w:val="20"/>
        </w:rPr>
        <w:fldChar w:fldCharType="end"/>
      </w:r>
      <w:r w:rsidR="007C4BEC" w:rsidRPr="001D1CA7">
        <w:rPr>
          <w:rFonts w:asciiTheme="majorBidi" w:hAnsiTheme="majorBidi" w:cstheme="majorBidi"/>
          <w:sz w:val="20"/>
          <w:szCs w:val="20"/>
        </w:rPr>
        <w:t>. This integration naturally aligns with the philosophy of antifragility training: using near</w:t>
      </w:r>
      <w:r w:rsidR="00AA3673">
        <w:rPr>
          <w:rFonts w:asciiTheme="majorBidi" w:hAnsiTheme="majorBidi" w:cstheme="majorBidi"/>
          <w:sz w:val="20"/>
          <w:szCs w:val="20"/>
        </w:rPr>
        <w:t>-</w:t>
      </w:r>
      <w:r w:rsidR="007C4BEC" w:rsidRPr="001D1CA7">
        <w:rPr>
          <w:rFonts w:asciiTheme="majorBidi" w:hAnsiTheme="majorBidi" w:cstheme="majorBidi"/>
          <w:sz w:val="20"/>
          <w:szCs w:val="20"/>
        </w:rPr>
        <w:t>misses not as paperwork, but as ongoing, high-precision inputs for scenario design, skill practice, and competency reinforcement.</w:t>
      </w:r>
    </w:p>
    <w:p w14:paraId="6FF3390D" w14:textId="42A8B4E1" w:rsidR="007C4BEC" w:rsidRPr="001D1CA7" w:rsidRDefault="007C4BEC" w:rsidP="007C4BEC">
      <w:pPr>
        <w:jc w:val="both"/>
        <w:rPr>
          <w:rFonts w:asciiTheme="majorBidi" w:hAnsiTheme="majorBidi" w:cstheme="majorBidi"/>
          <w:sz w:val="20"/>
          <w:szCs w:val="20"/>
        </w:rPr>
      </w:pPr>
      <w:r w:rsidRPr="001D1CA7">
        <w:rPr>
          <w:rFonts w:asciiTheme="majorBidi" w:hAnsiTheme="majorBidi" w:cstheme="majorBidi"/>
          <w:sz w:val="20"/>
          <w:szCs w:val="20"/>
        </w:rPr>
        <w:t xml:space="preserve">Two enabling pillars for antifragility safety training in chemical process contexts are rapid feedback loops and operational scenario-based learning. Evidence from behavior-based safety (BBS) suggests that interventions that emphasize direct observation, immediate feedback, and reinforcement mechanisms can produce measurable improvements in safety-related behaviors, especially when implemented carefully and supported by organizational systems </w:t>
      </w:r>
      <w:r w:rsidR="009C28B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&lt;EndNote&gt;&lt;Cite&gt;&lt;Author&gt;Spigener&lt;/Author&gt;&lt;Year&gt;2022&lt;/Year&gt;&lt;RecNum&gt;8&lt;/RecNum&gt;&lt;DisplayText&gt;[7]&lt;/DisplayText&gt;&lt;record&gt;&lt;rec-number&gt;8&lt;/rec-number&gt;&lt;foreign-keys&gt;&lt;key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sidR="009C28B7">
        <w:rPr>
          <w:rFonts w:asciiTheme="majorBidi" w:hAnsiTheme="majorBidi" w:cstheme="majorBidi"/>
          <w:sz w:val="20"/>
          <w:szCs w:val="20"/>
        </w:rPr>
        <w:fldChar w:fldCharType="separate"/>
      </w:r>
      <w:r w:rsidR="00647CF6">
        <w:rPr>
          <w:rFonts w:asciiTheme="majorBidi" w:hAnsiTheme="majorBidi" w:cstheme="majorBidi"/>
          <w:noProof/>
          <w:sz w:val="20"/>
          <w:szCs w:val="20"/>
        </w:rPr>
        <w:t>[7]</w:t>
      </w:r>
      <w:r w:rsidR="009C28B7">
        <w:rPr>
          <w:rFonts w:asciiTheme="majorBidi" w:hAnsiTheme="majorBidi" w:cstheme="majorBidi"/>
          <w:sz w:val="20"/>
          <w:szCs w:val="20"/>
        </w:rPr>
        <w:fldChar w:fldCharType="end"/>
      </w:r>
      <w:r w:rsidRPr="001D1CA7">
        <w:rPr>
          <w:rFonts w:asciiTheme="majorBidi" w:hAnsiTheme="majorBidi" w:cstheme="majorBidi"/>
          <w:sz w:val="20"/>
          <w:szCs w:val="20"/>
        </w:rPr>
        <w:t xml:space="preserve">. Complementary studies suggest that effective BBS implementation depends on data-driven targeting, employee engagement, ongoing feedback, and contextual alignment, rather than generic, one-size-fits-all campaigns </w:t>
      </w:r>
      <w:r w:rsidR="00CD7EE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sidR="00CD7EE7">
        <w:rPr>
          <w:rFonts w:asciiTheme="majorBidi" w:hAnsiTheme="majorBidi" w:cstheme="majorBidi"/>
          <w:sz w:val="20"/>
          <w:szCs w:val="20"/>
        </w:rPr>
        <w:fldChar w:fldCharType="separate"/>
      </w:r>
      <w:r w:rsidR="00647CF6">
        <w:rPr>
          <w:rFonts w:asciiTheme="majorBidi" w:hAnsiTheme="majorBidi" w:cstheme="majorBidi"/>
          <w:noProof/>
          <w:sz w:val="20"/>
          <w:szCs w:val="20"/>
        </w:rPr>
        <w:t>[8]</w:t>
      </w:r>
      <w:r w:rsidR="00CD7EE7">
        <w:rPr>
          <w:rFonts w:asciiTheme="majorBidi" w:hAnsiTheme="majorBidi" w:cstheme="majorBidi"/>
          <w:sz w:val="20"/>
          <w:szCs w:val="20"/>
        </w:rPr>
        <w:fldChar w:fldCharType="end"/>
      </w:r>
      <w:r w:rsidRPr="001D1CA7">
        <w:rPr>
          <w:rFonts w:asciiTheme="majorBidi" w:hAnsiTheme="majorBidi" w:cstheme="majorBidi"/>
          <w:sz w:val="20"/>
          <w:szCs w:val="20"/>
        </w:rPr>
        <w:t xml:space="preserve">. </w:t>
      </w:r>
      <w:r w:rsidR="00AC21FA" w:rsidRPr="00AC21FA">
        <w:rPr>
          <w:rFonts w:asciiTheme="majorBidi" w:hAnsiTheme="majorBidi" w:cstheme="majorBidi"/>
          <w:sz w:val="20"/>
          <w:szCs w:val="20"/>
        </w:rPr>
        <w:t>Translating this evidence to training design, the principle is simple: shorten the feedback loop</w:t>
      </w:r>
      <w:r w:rsidR="00C85C1B">
        <w:rPr>
          <w:rFonts w:asciiTheme="majorBidi" w:hAnsiTheme="majorBidi" w:cstheme="majorBidi"/>
          <w:sz w:val="20"/>
          <w:szCs w:val="20"/>
        </w:rPr>
        <w:t>.</w:t>
      </w:r>
      <w:r w:rsidRPr="001D1CA7">
        <w:rPr>
          <w:rFonts w:asciiTheme="majorBidi" w:hAnsiTheme="majorBidi" w:cstheme="majorBidi"/>
          <w:sz w:val="20"/>
          <w:szCs w:val="20"/>
        </w:rPr>
        <w:t xml:space="preserve"> </w:t>
      </w:r>
      <w:r w:rsidR="0061363A">
        <w:rPr>
          <w:rFonts w:asciiTheme="majorBidi" w:hAnsiTheme="majorBidi" w:cstheme="majorBidi"/>
          <w:sz w:val="20"/>
          <w:szCs w:val="20"/>
        </w:rPr>
        <w:t xml:space="preserve">Learning should be structured around short-cycle feedback that reduces the lag between action and consequence, allowing learners to fine-tune their </w:t>
      </w:r>
      <w:r w:rsidRPr="001D1CA7">
        <w:rPr>
          <w:rFonts w:asciiTheme="majorBidi" w:hAnsiTheme="majorBidi" w:cstheme="majorBidi"/>
          <w:sz w:val="20"/>
          <w:szCs w:val="20"/>
        </w:rPr>
        <w:t>decision-making and execution of procedures through repeated, guided practice.</w:t>
      </w:r>
    </w:p>
    <w:p w14:paraId="7AD80582" w14:textId="2DE151CA" w:rsidR="007C4BEC" w:rsidRPr="001D1CA7" w:rsidRDefault="007C4BEC" w:rsidP="007C4BEC">
      <w:pPr>
        <w:jc w:val="both"/>
        <w:rPr>
          <w:rFonts w:asciiTheme="majorBidi" w:hAnsiTheme="majorBidi" w:cstheme="majorBidi"/>
          <w:sz w:val="20"/>
          <w:szCs w:val="20"/>
        </w:rPr>
      </w:pPr>
      <w:r w:rsidRPr="001D1CA7">
        <w:rPr>
          <w:rFonts w:asciiTheme="majorBidi" w:hAnsiTheme="majorBidi" w:cstheme="majorBidi"/>
          <w:sz w:val="20"/>
          <w:szCs w:val="20"/>
        </w:rPr>
        <w:t>Scenario-based training is particularly powerful when scenarios are derived from real-world operational disruptions: unusual situations, early deviations, loss of communication between the field and the control room, and ambiguous indications under time pressure. In chemical incident prevention and response training, operator training simulators (OTS) have been shown to support structured practice with incident</w:t>
      </w:r>
      <w:r w:rsidR="00A22598">
        <w:rPr>
          <w:rFonts w:asciiTheme="majorBidi" w:hAnsiTheme="majorBidi" w:cstheme="majorBidi"/>
          <w:sz w:val="20"/>
          <w:szCs w:val="20"/>
        </w:rPr>
        <w:t xml:space="preserve"> and </w:t>
      </w:r>
      <w:r w:rsidR="006601D0">
        <w:rPr>
          <w:rFonts w:asciiTheme="majorBidi" w:hAnsiTheme="majorBidi" w:cstheme="majorBidi"/>
          <w:sz w:val="20"/>
          <w:szCs w:val="20"/>
        </w:rPr>
        <w:t>accident</w:t>
      </w:r>
      <w:r w:rsidRPr="001D1CA7">
        <w:rPr>
          <w:rFonts w:asciiTheme="majorBidi" w:hAnsiTheme="majorBidi" w:cstheme="majorBidi"/>
          <w:sz w:val="20"/>
          <w:szCs w:val="20"/>
        </w:rPr>
        <w:t xml:space="preserve"> scenarios in controlled environments, allowing repeated exposure to hazardous dynamics without real-world harm </w:t>
      </w:r>
      <w:r w:rsidR="00AF5BE7">
        <w:rPr>
          <w:rFonts w:asciiTheme="majorBidi" w:hAnsiTheme="majorBidi" w:cstheme="majorBidi"/>
          <w:sz w:val="20"/>
          <w:szCs w:val="20"/>
        </w:rPr>
        <w:fldChar w:fldCharType="begin"/>
      </w:r>
      <w:r w:rsidR="00647CF6">
        <w:rPr>
          <w:rFonts w:asciiTheme="majorBidi" w:hAnsiTheme="majorBidi" w:cstheme="majorBidi"/>
          <w:sz w:val="20"/>
          <w:szCs w:val="20"/>
        </w:rPr>
        <w:instrText xml:space="preserve"> ADDIN EN.CITE &lt;EndNote&gt;&lt;Cite&gt;&lt;Author&gt;Lee&lt;/Author&gt;&lt;Year&gt;2023&lt;/Year&gt;&lt;RecNum&gt;7&lt;/RecNum&gt;&lt;DisplayText&gt;[6]&lt;/DisplayText&gt;&lt;record&gt;&lt;rec-number&gt;7&lt;/rec-number&gt;&lt;foreign-keys&gt;&lt;key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AF5BE7">
        <w:rPr>
          <w:rFonts w:asciiTheme="majorBidi" w:hAnsiTheme="majorBidi" w:cstheme="majorBidi"/>
          <w:sz w:val="20"/>
          <w:szCs w:val="20"/>
        </w:rPr>
        <w:fldChar w:fldCharType="separate"/>
      </w:r>
      <w:r w:rsidR="00647CF6">
        <w:rPr>
          <w:rFonts w:asciiTheme="majorBidi" w:hAnsiTheme="majorBidi" w:cstheme="majorBidi"/>
          <w:noProof/>
          <w:sz w:val="20"/>
          <w:szCs w:val="20"/>
        </w:rPr>
        <w:t>[6]</w:t>
      </w:r>
      <w:r w:rsidR="00AF5BE7">
        <w:rPr>
          <w:rFonts w:asciiTheme="majorBidi" w:hAnsiTheme="majorBidi" w:cstheme="majorBidi"/>
          <w:sz w:val="20"/>
          <w:szCs w:val="20"/>
        </w:rPr>
        <w:fldChar w:fldCharType="end"/>
      </w:r>
      <w:r w:rsidR="00AF5BE7">
        <w:rPr>
          <w:rFonts w:asciiTheme="majorBidi" w:hAnsiTheme="majorBidi" w:cstheme="majorBidi"/>
          <w:sz w:val="20"/>
          <w:szCs w:val="20"/>
        </w:rPr>
        <w:t xml:space="preserve">. </w:t>
      </w:r>
      <w:r w:rsidRPr="001D1CA7">
        <w:rPr>
          <w:rFonts w:asciiTheme="majorBidi" w:hAnsiTheme="majorBidi" w:cstheme="majorBidi"/>
          <w:sz w:val="20"/>
          <w:szCs w:val="20"/>
        </w:rPr>
        <w:t xml:space="preserve">In parallel, systematic reviews and meta-analytic evidence suggest that virtual reality (VR) safety training can reduce the limitations of traditional classroom training by increasing experiential engagement, contextual realism, and performance feedback, thereby enhancing the transfer of competence to operational environments </w:t>
      </w:r>
      <w:r w:rsidR="00FF1394">
        <w:rPr>
          <w:rFonts w:asciiTheme="majorBidi" w:hAnsiTheme="majorBidi" w:cstheme="majorBidi"/>
          <w:sz w:val="20"/>
          <w:szCs w:val="20"/>
        </w:rPr>
        <w:fldChar w:fldCharType="begin"/>
      </w:r>
      <w:r w:rsidR="00FF1394">
        <w:rPr>
          <w:rFonts w:asciiTheme="majorBidi" w:hAnsiTheme="majorBidi" w:cstheme="majorBidi"/>
          <w:sz w:val="20"/>
          <w:szCs w:val="20"/>
        </w:rPr>
        <w:instrText xml:space="preserve"> ADDIN EN.CITE &lt;EndNote&gt;&lt;Cite&gt;&lt;Author&gt;Scorgie&lt;/Author&gt;&lt;Year&gt;2024&lt;/Year&gt;&lt;RecNum&gt;1&lt;/RecNum&gt;&lt;DisplayText&gt;[1]&lt;/DisplayText&gt;&lt;record&gt;&lt;rec-number&gt;1&lt;/rec-number&gt;&lt;foreign-keys&gt;&lt;key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science&lt;/full-title&gt;&lt;/periodical&gt;&lt;pages&gt;106372&lt;/pages&gt;&lt;volume&gt;171&lt;/volume&gt;&lt;dates&gt;&lt;year&gt;2024&lt;/year&gt;&lt;/dates&gt;&lt;isbn&gt;0925-7535&lt;/isbn&gt;&lt;urls&gt;&lt;/urls&gt;&lt;/record&gt;&lt;/Cite&gt;&lt;/EndNote&gt;</w:instrText>
      </w:r>
      <w:r w:rsidR="00FF1394">
        <w:rPr>
          <w:rFonts w:asciiTheme="majorBidi" w:hAnsiTheme="majorBidi" w:cstheme="majorBidi"/>
          <w:sz w:val="20"/>
          <w:szCs w:val="20"/>
        </w:rPr>
        <w:fldChar w:fldCharType="separate"/>
      </w:r>
      <w:r w:rsidR="00FF1394">
        <w:rPr>
          <w:rFonts w:asciiTheme="majorBidi" w:hAnsiTheme="majorBidi" w:cstheme="majorBidi"/>
          <w:noProof/>
          <w:sz w:val="20"/>
          <w:szCs w:val="20"/>
        </w:rPr>
        <w:t>[1]</w:t>
      </w:r>
      <w:r w:rsidR="00FF1394">
        <w:rPr>
          <w:rFonts w:asciiTheme="majorBidi" w:hAnsiTheme="majorBidi" w:cstheme="majorBidi"/>
          <w:sz w:val="20"/>
          <w:szCs w:val="20"/>
        </w:rPr>
        <w:fldChar w:fldCharType="end"/>
      </w:r>
      <w:r w:rsidRPr="001D1CA7">
        <w:rPr>
          <w:rFonts w:asciiTheme="majorBidi" w:hAnsiTheme="majorBidi" w:cstheme="majorBidi"/>
          <w:sz w:val="20"/>
          <w:szCs w:val="20"/>
        </w:rPr>
        <w:t xml:space="preserve">. When these methods are fed with NMMS outputs, they can operationalize antifragility by transforming </w:t>
      </w:r>
      <w:r w:rsidR="00AA3673">
        <w:rPr>
          <w:rFonts w:asciiTheme="majorBidi" w:hAnsiTheme="majorBidi" w:cstheme="majorBidi"/>
          <w:sz w:val="20"/>
          <w:szCs w:val="20"/>
        </w:rPr>
        <w:t>near-miss</w:t>
      </w:r>
      <w:r w:rsidRPr="001D1CA7">
        <w:rPr>
          <w:rFonts w:asciiTheme="majorBidi" w:hAnsiTheme="majorBidi" w:cstheme="majorBidi"/>
          <w:sz w:val="20"/>
          <w:szCs w:val="20"/>
        </w:rPr>
        <w:t xml:space="preserve"> </w:t>
      </w:r>
      <w:r w:rsidR="00280A02" w:rsidRPr="00280A02">
        <w:rPr>
          <w:rFonts w:asciiTheme="majorBidi" w:hAnsiTheme="majorBidi" w:cstheme="majorBidi"/>
          <w:sz w:val="20"/>
          <w:szCs w:val="20"/>
        </w:rPr>
        <w:t>events</w:t>
      </w:r>
      <w:r w:rsidRPr="001D1CA7">
        <w:rPr>
          <w:rFonts w:asciiTheme="majorBidi" w:hAnsiTheme="majorBidi" w:cstheme="majorBidi"/>
          <w:sz w:val="20"/>
          <w:szCs w:val="20"/>
        </w:rPr>
        <w:t xml:space="preserve"> into scenario libraries, performance </w:t>
      </w:r>
      <w:r w:rsidR="007A2EC7" w:rsidRPr="007A2EC7">
        <w:rPr>
          <w:rFonts w:asciiTheme="majorBidi" w:hAnsiTheme="majorBidi" w:cstheme="majorBidi"/>
          <w:sz w:val="20"/>
          <w:szCs w:val="20"/>
        </w:rPr>
        <w:t>diagnostics</w:t>
      </w:r>
      <w:r w:rsidRPr="001D1CA7">
        <w:rPr>
          <w:rFonts w:asciiTheme="majorBidi" w:hAnsiTheme="majorBidi" w:cstheme="majorBidi"/>
          <w:sz w:val="20"/>
          <w:szCs w:val="20"/>
        </w:rPr>
        <w:t>, and iterative training updates.</w:t>
      </w:r>
    </w:p>
    <w:p w14:paraId="6A323D53" w14:textId="711E4470" w:rsidR="00AA22BC" w:rsidRDefault="007D5DE1" w:rsidP="00391546">
      <w:pPr>
        <w:jc w:val="both"/>
        <w:rPr>
          <w:rFonts w:asciiTheme="majorBidi" w:hAnsiTheme="majorBidi" w:cstheme="majorBidi"/>
          <w:sz w:val="20"/>
          <w:szCs w:val="20"/>
        </w:rPr>
      </w:pPr>
      <w:r w:rsidRPr="007D5DE1">
        <w:rPr>
          <w:rFonts w:asciiTheme="majorBidi" w:hAnsiTheme="majorBidi" w:cstheme="majorBidi"/>
          <w:sz w:val="20"/>
          <w:szCs w:val="20"/>
        </w:rPr>
        <w:t>Therefore</w:t>
      </w:r>
      <w:r w:rsidR="007C4BEC" w:rsidRPr="001D1CA7">
        <w:rPr>
          <w:rFonts w:asciiTheme="majorBidi" w:hAnsiTheme="majorBidi" w:cstheme="majorBidi"/>
          <w:sz w:val="20"/>
          <w:szCs w:val="20"/>
        </w:rPr>
        <w:t>, antifragility safety training for chemical process industries can be conceptualized as an integrated learning architecture with three main inputs and mechanisms: (1) near</w:t>
      </w:r>
      <w:r w:rsidR="00AA3673">
        <w:rPr>
          <w:rFonts w:asciiTheme="majorBidi" w:hAnsiTheme="majorBidi" w:cstheme="majorBidi"/>
          <w:sz w:val="20"/>
          <w:szCs w:val="20"/>
        </w:rPr>
        <w:t>-</w:t>
      </w:r>
      <w:r w:rsidR="007C4BEC" w:rsidRPr="001D1CA7">
        <w:rPr>
          <w:rFonts w:asciiTheme="majorBidi" w:hAnsiTheme="majorBidi" w:cstheme="majorBidi"/>
          <w:sz w:val="20"/>
          <w:szCs w:val="20"/>
        </w:rPr>
        <w:t>misses as weak signal data streams for learning and adaptation, (2) scenario engineering to transform operational experience into structured practice and decision-making exercise</w:t>
      </w:r>
      <w:r w:rsidR="001E384A">
        <w:rPr>
          <w:rFonts w:asciiTheme="majorBidi" w:hAnsiTheme="majorBidi" w:cstheme="majorBidi"/>
          <w:sz w:val="20"/>
          <w:szCs w:val="20"/>
        </w:rPr>
        <w:t>s</w:t>
      </w:r>
      <w:r w:rsidR="007C4BEC" w:rsidRPr="001D1CA7">
        <w:rPr>
          <w:rFonts w:asciiTheme="majorBidi" w:hAnsiTheme="majorBidi" w:cstheme="majorBidi"/>
          <w:sz w:val="20"/>
          <w:szCs w:val="20"/>
        </w:rPr>
        <w:t xml:space="preserve">, and (3) rapid, behavior-based feedback to accelerate skill acquisition and maintain safe performance. The </w:t>
      </w:r>
      <w:r w:rsidR="007C4BEC" w:rsidRPr="001D1CA7">
        <w:rPr>
          <w:rFonts w:asciiTheme="majorBidi" w:hAnsiTheme="majorBidi" w:cstheme="majorBidi"/>
          <w:sz w:val="20"/>
          <w:szCs w:val="20"/>
        </w:rPr>
        <w:lastRenderedPageBreak/>
        <w:t xml:space="preserve">desired outcome is not simply a reduction in incident frequency, but rather an increase in adaptive capacity: early detection of drift, safer variability management, and stronger behavioral control under changing operational conditions, consistent with the antifragility proposition of getting stronger through controlled stress </w:t>
      </w:r>
      <w:r w:rsidR="009C7A57">
        <w:rPr>
          <w:rFonts w:asciiTheme="majorBidi" w:hAnsiTheme="majorBidi" w:cstheme="majorBidi"/>
          <w:sz w:val="20"/>
          <w:szCs w:val="20"/>
        </w:rPr>
        <w:fldChar w:fldCharType="begin"/>
      </w:r>
      <w:r w:rsidR="00757491">
        <w:rPr>
          <w:rFonts w:asciiTheme="majorBidi" w:hAnsiTheme="majorBidi" w:cstheme="majorBidi"/>
          <w:sz w:val="20"/>
          <w:szCs w:val="20"/>
        </w:rPr>
        <w:instrText xml:space="preserve"> ADDIN EN.CITE &lt;EndNote&gt;&lt;Cite&gt;&lt;Author&gt;Martinetti&lt;/Author&gt;&lt;Year&gt;2019&lt;/Year&gt;&lt;RecNum&gt;4&lt;/RecNum&gt;&lt;DisplayText&gt;[3, 9]&lt;/DisplayText&gt;&lt;record&gt;&lt;rec-number&gt;4&lt;/rec-number&gt;&lt;foreign-keys&gt;&lt;key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Cite&gt;&lt;Author&gt;Taleb&lt;/Author&gt;&lt;Year&gt;2012&lt;/Year&gt;&lt;RecNum&gt;10&lt;/RecNum&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UK&lt;/publisher&gt;&lt;isbn&gt;0718197909&lt;/isbn&gt;&lt;urls&gt;&lt;/urls&gt;&lt;/record&gt;&lt;/Cite&gt;&lt;/EndNote&gt;</w:instrText>
      </w:r>
      <w:r w:rsidR="009C7A57">
        <w:rPr>
          <w:rFonts w:asciiTheme="majorBidi" w:hAnsiTheme="majorBidi" w:cstheme="majorBidi"/>
          <w:sz w:val="20"/>
          <w:szCs w:val="20"/>
        </w:rPr>
        <w:fldChar w:fldCharType="separate"/>
      </w:r>
      <w:r w:rsidR="00757491">
        <w:rPr>
          <w:rFonts w:asciiTheme="majorBidi" w:hAnsiTheme="majorBidi" w:cstheme="majorBidi"/>
          <w:noProof/>
          <w:sz w:val="20"/>
          <w:szCs w:val="20"/>
        </w:rPr>
        <w:t>[3, 9]</w:t>
      </w:r>
      <w:r w:rsidR="009C7A57">
        <w:rPr>
          <w:rFonts w:asciiTheme="majorBidi" w:hAnsiTheme="majorBidi" w:cstheme="majorBidi"/>
          <w:sz w:val="20"/>
          <w:szCs w:val="20"/>
        </w:rPr>
        <w:fldChar w:fldCharType="end"/>
      </w:r>
      <w:r w:rsidR="009C7A57">
        <w:rPr>
          <w:rFonts w:asciiTheme="majorBidi" w:hAnsiTheme="majorBidi" w:cstheme="majorBidi"/>
          <w:sz w:val="20"/>
          <w:szCs w:val="20"/>
        </w:rPr>
        <w:t>.</w:t>
      </w:r>
    </w:p>
    <w:p w14:paraId="4BF54E2E" w14:textId="604FAAF5" w:rsidR="00E56509" w:rsidRDefault="00E56509" w:rsidP="00391546">
      <w:pPr>
        <w:jc w:val="both"/>
        <w:rPr>
          <w:rFonts w:asciiTheme="majorBidi" w:hAnsiTheme="majorBidi" w:cstheme="majorBidi"/>
          <w:sz w:val="20"/>
          <w:szCs w:val="20"/>
          <w:rtl/>
        </w:rPr>
      </w:pPr>
      <w:r w:rsidRPr="00E56509">
        <w:rPr>
          <w:rFonts w:asciiTheme="majorBidi" w:hAnsiTheme="majorBidi" w:cstheme="majorBidi"/>
          <w:sz w:val="20"/>
          <w:szCs w:val="20"/>
        </w:rPr>
        <w:t>Accordingly, this paper proposes a design framework for safety training with a focus on antifragility in high-</w:t>
      </w:r>
      <w:r>
        <w:rPr>
          <w:rFonts w:asciiTheme="majorBidi" w:hAnsiTheme="majorBidi" w:cstheme="majorBidi"/>
          <w:sz w:val="20"/>
          <w:szCs w:val="20"/>
        </w:rPr>
        <w:t xml:space="preserve">hazard </w:t>
      </w:r>
      <w:r w:rsidRPr="00E56509">
        <w:rPr>
          <w:rFonts w:asciiTheme="majorBidi" w:hAnsiTheme="majorBidi" w:cstheme="majorBidi"/>
          <w:sz w:val="20"/>
          <w:szCs w:val="20"/>
        </w:rPr>
        <w:t>operations</w:t>
      </w:r>
      <w:r w:rsidR="008F1E3E">
        <w:rPr>
          <w:rFonts w:asciiTheme="majorBidi" w:hAnsiTheme="majorBidi" w:cstheme="majorBidi"/>
          <w:sz w:val="20"/>
          <w:szCs w:val="20"/>
        </w:rPr>
        <w:t xml:space="preserve">. </w:t>
      </w:r>
      <w:r w:rsidR="008F1E3E" w:rsidRPr="008F1E3E">
        <w:rPr>
          <w:rFonts w:asciiTheme="majorBidi" w:hAnsiTheme="majorBidi" w:cstheme="majorBidi"/>
          <w:sz w:val="20"/>
          <w:szCs w:val="20"/>
        </w:rPr>
        <w:t>The contributions are threefold</w:t>
      </w:r>
      <w:r w:rsidRPr="00E56509">
        <w:rPr>
          <w:rFonts w:asciiTheme="majorBidi" w:hAnsiTheme="majorBidi" w:cstheme="majorBidi"/>
          <w:sz w:val="20"/>
          <w:szCs w:val="20"/>
        </w:rPr>
        <w:t>: (1) a mechanism-based model that links near</w:t>
      </w:r>
      <w:r w:rsidR="00AA3673">
        <w:rPr>
          <w:rFonts w:asciiTheme="majorBidi" w:hAnsiTheme="majorBidi" w:cstheme="majorBidi"/>
          <w:sz w:val="20"/>
          <w:szCs w:val="20"/>
        </w:rPr>
        <w:t>-</w:t>
      </w:r>
      <w:r>
        <w:rPr>
          <w:rFonts w:asciiTheme="majorBidi" w:hAnsiTheme="majorBidi" w:cstheme="majorBidi"/>
          <w:sz w:val="20"/>
          <w:szCs w:val="20"/>
        </w:rPr>
        <w:t>miss</w:t>
      </w:r>
      <w:r w:rsidRPr="00E56509">
        <w:rPr>
          <w:rFonts w:asciiTheme="majorBidi" w:hAnsiTheme="majorBidi" w:cstheme="majorBidi"/>
          <w:sz w:val="20"/>
          <w:szCs w:val="20"/>
        </w:rPr>
        <w:t xml:space="preserve"> data </w:t>
      </w:r>
      <w:r w:rsidR="007F7621" w:rsidRPr="007F7621">
        <w:rPr>
          <w:rFonts w:asciiTheme="majorBidi" w:hAnsiTheme="majorBidi" w:cstheme="majorBidi"/>
          <w:sz w:val="20"/>
          <w:szCs w:val="20"/>
        </w:rPr>
        <w:t>streams</w:t>
      </w:r>
      <w:r w:rsidRPr="00E56509">
        <w:rPr>
          <w:rFonts w:asciiTheme="majorBidi" w:hAnsiTheme="majorBidi" w:cstheme="majorBidi"/>
          <w:sz w:val="20"/>
          <w:szCs w:val="20"/>
        </w:rPr>
        <w:t xml:space="preserve"> to scenario engineering and rapid feedback; (2) practical design principles for transforming near</w:t>
      </w:r>
      <w:r w:rsidR="00AA3673">
        <w:rPr>
          <w:rFonts w:asciiTheme="majorBidi" w:hAnsiTheme="majorBidi" w:cstheme="majorBidi"/>
          <w:sz w:val="20"/>
          <w:szCs w:val="20"/>
        </w:rPr>
        <w:t>-</w:t>
      </w:r>
      <w:r>
        <w:rPr>
          <w:rFonts w:asciiTheme="majorBidi" w:hAnsiTheme="majorBidi" w:cstheme="majorBidi"/>
          <w:sz w:val="20"/>
          <w:szCs w:val="20"/>
        </w:rPr>
        <w:t>miss</w:t>
      </w:r>
      <w:r w:rsidR="000524BA">
        <w:rPr>
          <w:rFonts w:asciiTheme="majorBidi" w:hAnsiTheme="majorBidi" w:cstheme="majorBidi"/>
          <w:sz w:val="20"/>
          <w:szCs w:val="20"/>
        </w:rPr>
        <w:t>es</w:t>
      </w:r>
      <w:r w:rsidRPr="00E56509">
        <w:rPr>
          <w:rFonts w:asciiTheme="majorBidi" w:hAnsiTheme="majorBidi" w:cstheme="majorBidi"/>
          <w:sz w:val="20"/>
          <w:szCs w:val="20"/>
        </w:rPr>
        <w:t xml:space="preserve"> into training scenarios (including escalation logic, decision points, and performance indicators); and (3) evaluation indicators that focus on observable safety behaviors and leading measures rather than completion scores.</w:t>
      </w:r>
    </w:p>
    <w:p w14:paraId="56B6E650" w14:textId="3B14BA5A" w:rsidR="009D002B" w:rsidRPr="0039097C" w:rsidRDefault="00D2745A" w:rsidP="00391546">
      <w:pPr>
        <w:jc w:val="both"/>
        <w:rPr>
          <w:rFonts w:asciiTheme="majorBidi" w:hAnsiTheme="majorBidi" w:cstheme="majorBidi"/>
          <w:b/>
          <w:bCs/>
          <w:sz w:val="22"/>
          <w:szCs w:val="22"/>
        </w:rPr>
      </w:pPr>
      <w:r w:rsidRPr="0039097C">
        <w:rPr>
          <w:rFonts w:asciiTheme="majorBidi" w:hAnsiTheme="majorBidi" w:cstheme="majorBidi"/>
          <w:b/>
          <w:bCs/>
          <w:sz w:val="22"/>
          <w:szCs w:val="22"/>
        </w:rPr>
        <w:t xml:space="preserve">2. </w:t>
      </w:r>
      <w:r w:rsidR="009D002B" w:rsidRPr="0039097C">
        <w:rPr>
          <w:rFonts w:asciiTheme="majorBidi" w:hAnsiTheme="majorBidi" w:cstheme="majorBidi"/>
          <w:b/>
          <w:bCs/>
          <w:sz w:val="22"/>
          <w:szCs w:val="22"/>
        </w:rPr>
        <w:t>Methodology</w:t>
      </w:r>
    </w:p>
    <w:p w14:paraId="48AAB266" w14:textId="67ED7A68" w:rsidR="009D002B" w:rsidRPr="009D002B" w:rsidRDefault="009D002B" w:rsidP="009D002B">
      <w:pPr>
        <w:jc w:val="both"/>
        <w:rPr>
          <w:rFonts w:asciiTheme="majorBidi" w:hAnsiTheme="majorBidi" w:cstheme="majorBidi"/>
          <w:sz w:val="20"/>
          <w:szCs w:val="20"/>
        </w:rPr>
      </w:pPr>
      <w:r w:rsidRPr="009D002B">
        <w:rPr>
          <w:rFonts w:asciiTheme="majorBidi" w:hAnsiTheme="majorBidi" w:cstheme="majorBidi"/>
          <w:sz w:val="20"/>
          <w:szCs w:val="20"/>
        </w:rPr>
        <w:t>This study uses a conceptual framework design approach based on a critical narrative review of the interdisciplinary literature. The research methodology was implemented in two stages:</w:t>
      </w:r>
    </w:p>
    <w:p w14:paraId="68F42AF9" w14:textId="18F9D4CB" w:rsidR="00C358C6" w:rsidRDefault="00C358C6" w:rsidP="000517C9">
      <w:pPr>
        <w:jc w:val="both"/>
        <w:rPr>
          <w:rFonts w:asciiTheme="majorBidi" w:hAnsiTheme="majorBidi" w:cstheme="majorBidi"/>
          <w:sz w:val="20"/>
          <w:szCs w:val="20"/>
          <w:rtl/>
        </w:rPr>
      </w:pPr>
      <w:r w:rsidRPr="00C358C6">
        <w:rPr>
          <w:rFonts w:asciiTheme="majorBidi" w:hAnsiTheme="majorBidi" w:cstheme="majorBidi"/>
          <w:sz w:val="20"/>
          <w:szCs w:val="20"/>
        </w:rPr>
        <w:t>Stage 1: Literature Synthesis. A purposive, mechanism-oriented literature synthesis was conducted to trace the evolution of safety training approaches in high-hazard process industries (HHPIs) and to extract design-relevant mechanisms for antifragility-oriented training. Searches were performed in Scopus, Web of Science Core Collection, and ScienceDirect, complemented by PubMed/MEDLINE (for behavioral and training-transfer evidence). Google Scholar was used as a supplementary source to identify additional relevant papers and conference proceedings. The search focused primarily on peer-reviewed publications from 2015 to 2025 to reflect recent developments, using keywords and combinations of terms such as “Safety-II,” “antifragility”</w:t>
      </w:r>
      <w:r w:rsidR="00FF6AC8">
        <w:rPr>
          <w:rFonts w:asciiTheme="majorBidi" w:hAnsiTheme="majorBidi" w:cstheme="majorBidi"/>
          <w:sz w:val="20"/>
          <w:szCs w:val="20"/>
        </w:rPr>
        <w:t xml:space="preserve"> or </w:t>
      </w:r>
      <w:r w:rsidRPr="00C358C6">
        <w:rPr>
          <w:rFonts w:asciiTheme="majorBidi" w:hAnsiTheme="majorBidi" w:cstheme="majorBidi"/>
          <w:sz w:val="20"/>
          <w:szCs w:val="20"/>
        </w:rPr>
        <w:t>“antifragile engineering,” “near</w:t>
      </w:r>
      <w:r w:rsidR="00AA3673">
        <w:rPr>
          <w:rFonts w:asciiTheme="majorBidi" w:hAnsiTheme="majorBidi" w:cstheme="majorBidi"/>
          <w:sz w:val="20"/>
          <w:szCs w:val="20"/>
        </w:rPr>
        <w:t>-</w:t>
      </w:r>
      <w:r w:rsidRPr="00C358C6">
        <w:rPr>
          <w:rFonts w:asciiTheme="majorBidi" w:hAnsiTheme="majorBidi" w:cstheme="majorBidi"/>
          <w:sz w:val="20"/>
          <w:szCs w:val="20"/>
        </w:rPr>
        <w:t>miss management system,” “immersive safety training,” “virtual reality,” “operator training simulator (OTS),” and “behavior-based safety” together with “feedback” and “coaching.” Studies were prioritized if they (</w:t>
      </w:r>
      <w:proofErr w:type="spellStart"/>
      <w:r w:rsidRPr="00C358C6">
        <w:rPr>
          <w:rFonts w:asciiTheme="majorBidi" w:hAnsiTheme="majorBidi" w:cstheme="majorBidi"/>
          <w:sz w:val="20"/>
          <w:szCs w:val="20"/>
        </w:rPr>
        <w:t>i</w:t>
      </w:r>
      <w:proofErr w:type="spellEnd"/>
      <w:r w:rsidRPr="00C358C6">
        <w:rPr>
          <w:rFonts w:asciiTheme="majorBidi" w:hAnsiTheme="majorBidi" w:cstheme="majorBidi"/>
          <w:sz w:val="20"/>
          <w:szCs w:val="20"/>
        </w:rPr>
        <w:t>) addressed limitations of compliance- or adaptation-only training, (ii) provided empirical or practice-based evidence related to adaptive performance under variability, and/or (iii) offered transferable design implications for converting operational signals (e.g., near</w:t>
      </w:r>
      <w:r w:rsidR="002163AC">
        <w:rPr>
          <w:rFonts w:asciiTheme="majorBidi" w:hAnsiTheme="majorBidi" w:cstheme="majorBidi"/>
          <w:sz w:val="20"/>
          <w:szCs w:val="20"/>
        </w:rPr>
        <w:t>-</w:t>
      </w:r>
      <w:r w:rsidRPr="00C358C6">
        <w:rPr>
          <w:rFonts w:asciiTheme="majorBidi" w:hAnsiTheme="majorBidi" w:cstheme="majorBidi"/>
          <w:sz w:val="20"/>
          <w:szCs w:val="20"/>
        </w:rPr>
        <w:t>misses) into structured scenario practice and rapid feedback loops.</w:t>
      </w:r>
    </w:p>
    <w:p w14:paraId="4CB573D8" w14:textId="1AFCA289" w:rsidR="000517C9" w:rsidRDefault="009D002B" w:rsidP="000517C9">
      <w:pPr>
        <w:jc w:val="both"/>
        <w:rPr>
          <w:rFonts w:asciiTheme="majorBidi" w:hAnsiTheme="majorBidi" w:cstheme="majorBidi"/>
          <w:sz w:val="20"/>
          <w:szCs w:val="20"/>
        </w:rPr>
      </w:pPr>
      <w:r w:rsidRPr="009D002B">
        <w:rPr>
          <w:rFonts w:asciiTheme="majorBidi" w:hAnsiTheme="majorBidi" w:cstheme="majorBidi"/>
          <w:sz w:val="20"/>
          <w:szCs w:val="20"/>
        </w:rPr>
        <w:t>Stage 2: Framework Development Based on the synthesized literature, a unified theoretical framework was constructed. The design process involved mapping the core principles of antifragility (exploiting disorder) onto the operational gaps of traditional safety training. The framework connects three distinct safety domains</w:t>
      </w:r>
      <w:r>
        <w:rPr>
          <w:rFonts w:asciiTheme="majorBidi" w:hAnsiTheme="majorBidi" w:cstheme="majorBidi"/>
          <w:sz w:val="20"/>
          <w:szCs w:val="20"/>
        </w:rPr>
        <w:t>-</w:t>
      </w:r>
      <w:r w:rsidRPr="009D002B">
        <w:rPr>
          <w:rFonts w:asciiTheme="majorBidi" w:hAnsiTheme="majorBidi" w:cstheme="majorBidi"/>
          <w:sz w:val="20"/>
          <w:szCs w:val="20"/>
        </w:rPr>
        <w:t>incident reporting, simulation technology, and behavioral psychology</w:t>
      </w:r>
      <w:r>
        <w:rPr>
          <w:rFonts w:asciiTheme="majorBidi" w:hAnsiTheme="majorBidi" w:cstheme="majorBidi"/>
          <w:sz w:val="20"/>
          <w:szCs w:val="20"/>
        </w:rPr>
        <w:t>-</w:t>
      </w:r>
      <w:r w:rsidRPr="009D002B">
        <w:rPr>
          <w:rFonts w:asciiTheme="majorBidi" w:hAnsiTheme="majorBidi" w:cstheme="majorBidi"/>
          <w:sz w:val="20"/>
          <w:szCs w:val="20"/>
        </w:rPr>
        <w:t xml:space="preserve">into a coherent, closed-loop architecture. </w:t>
      </w:r>
    </w:p>
    <w:p w14:paraId="5FA45A67" w14:textId="45C3135E" w:rsidR="003C498E" w:rsidRPr="0039097C" w:rsidRDefault="00D2745A" w:rsidP="000517C9">
      <w:pPr>
        <w:jc w:val="both"/>
        <w:rPr>
          <w:rFonts w:asciiTheme="majorBidi" w:hAnsiTheme="majorBidi" w:cstheme="majorBidi"/>
          <w:b/>
          <w:bCs/>
          <w:sz w:val="22"/>
          <w:szCs w:val="22"/>
          <w:rtl/>
        </w:rPr>
      </w:pPr>
      <w:r w:rsidRPr="0039097C">
        <w:rPr>
          <w:rFonts w:asciiTheme="majorBidi" w:hAnsiTheme="majorBidi" w:cstheme="majorBidi"/>
          <w:b/>
          <w:bCs/>
          <w:sz w:val="22"/>
          <w:szCs w:val="22"/>
        </w:rPr>
        <w:t xml:space="preserve">3. </w:t>
      </w:r>
      <w:r w:rsidR="003C498E" w:rsidRPr="0039097C">
        <w:rPr>
          <w:rFonts w:asciiTheme="majorBidi" w:hAnsiTheme="majorBidi" w:cstheme="majorBidi"/>
          <w:b/>
          <w:bCs/>
          <w:sz w:val="22"/>
          <w:szCs w:val="22"/>
        </w:rPr>
        <w:t>Proposed Antifragile Training Framework</w:t>
      </w:r>
    </w:p>
    <w:p w14:paraId="56AECABF" w14:textId="2109010B" w:rsidR="008325E8" w:rsidRPr="008325E8" w:rsidRDefault="008325E8" w:rsidP="002042E1">
      <w:pPr>
        <w:jc w:val="both"/>
        <w:rPr>
          <w:rFonts w:asciiTheme="majorBidi" w:hAnsiTheme="majorBidi" w:cstheme="majorBidi"/>
          <w:sz w:val="20"/>
          <w:szCs w:val="20"/>
        </w:rPr>
      </w:pPr>
      <w:r w:rsidRPr="008325E8">
        <w:rPr>
          <w:rFonts w:asciiTheme="majorBidi" w:hAnsiTheme="majorBidi" w:cstheme="majorBidi"/>
          <w:sz w:val="20"/>
          <w:szCs w:val="20"/>
        </w:rPr>
        <w:t xml:space="preserve">Antifragility goes beyond robustness and resilience by focusing on improvement through exposure to change and stress, not just resisting disruptions or returning to normal. An antifragile system adapts to unexpected events, using disturbances to improve and evolve over time </w:t>
      </w:r>
      <w:r w:rsidR="00964616">
        <w:rPr>
          <w:rFonts w:asciiTheme="majorBidi" w:hAnsiTheme="majorBidi" w:cstheme="majorBidi"/>
          <w:sz w:val="20"/>
          <w:szCs w:val="20"/>
        </w:rPr>
        <w:fldChar w:fldCharType="begin"/>
      </w:r>
      <w:r w:rsidR="00964616">
        <w:rPr>
          <w:rFonts w:asciiTheme="majorBidi" w:hAnsiTheme="majorBidi" w:cstheme="majorBidi"/>
          <w:sz w:val="20"/>
          <w:szCs w:val="20"/>
        </w:rPr>
        <w:instrText xml:space="preserve"> ADDIN EN.CITE &lt;EndNote&gt;&lt;Cite&gt;&lt;Author&gt;Martinetti&lt;/Author&gt;&lt;Year&gt;2019&lt;/Year&gt;&lt;RecNum&gt;4&lt;/RecNum&gt;&lt;DisplayText&gt;[3, 9]&lt;/DisplayText&gt;&lt;record&gt;&lt;rec-number&gt;4&lt;/rec-number&gt;&lt;foreign-keys&gt;&lt;key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Cite&gt;&lt;Author&gt;Taleb&lt;/Author&gt;&lt;Year&gt;2012&lt;/Year&gt;&lt;RecNum&gt;10&lt;/RecNum&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UK&lt;/publisher&gt;&lt;isbn&gt;0718197909&lt;/isbn&gt;&lt;urls&gt;&lt;/urls&gt;&lt;/record&gt;&lt;/Cite&gt;&lt;/EndNote&gt;</w:instrText>
      </w:r>
      <w:r w:rsidR="00964616">
        <w:rPr>
          <w:rFonts w:asciiTheme="majorBidi" w:hAnsiTheme="majorBidi" w:cstheme="majorBidi"/>
          <w:sz w:val="20"/>
          <w:szCs w:val="20"/>
        </w:rPr>
        <w:fldChar w:fldCharType="separate"/>
      </w:r>
      <w:r w:rsidR="00964616">
        <w:rPr>
          <w:rFonts w:asciiTheme="majorBidi" w:hAnsiTheme="majorBidi" w:cstheme="majorBidi"/>
          <w:noProof/>
          <w:sz w:val="20"/>
          <w:szCs w:val="20"/>
        </w:rPr>
        <w:t>[3, 9]</w:t>
      </w:r>
      <w:r w:rsidR="00964616">
        <w:rPr>
          <w:rFonts w:asciiTheme="majorBidi" w:hAnsiTheme="majorBidi" w:cstheme="majorBidi"/>
          <w:sz w:val="20"/>
          <w:szCs w:val="20"/>
        </w:rPr>
        <w:fldChar w:fldCharType="end"/>
      </w:r>
      <w:r w:rsidRPr="008325E8">
        <w:rPr>
          <w:rFonts w:asciiTheme="majorBidi" w:hAnsiTheme="majorBidi" w:cstheme="majorBidi"/>
          <w:sz w:val="20"/>
          <w:szCs w:val="20"/>
        </w:rPr>
        <w:t xml:space="preserve">. Aven explains that antifragility is a dynamic quality that develops through exposure to moderate uncertainty, variation, and risk. Real systems can only be antifragile to a certain degree, not completely immune to shocks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&lt;EndNote&gt;&lt;Cite&gt;&lt;Author&gt;Aven&lt;/Author&gt;&lt;Year&gt;2015&lt;/Year&gt;&lt;RecNum&gt;11&lt;/RecNum&gt;&lt;DisplayText&gt;[10]&lt;/DisplayText&gt;&lt;record&gt;&lt;rec-number&gt;11&lt;/rec-number&gt;&lt;foreign-keys&gt;&lt;key app="EN" db-id="dz0tx9r22vexwlee5zcv2d92r92sp99dxwfv" timestamp="1766922513"&gt;11&lt;/key&gt;&lt;/foreign-keys&gt;&lt;ref-type name="Journal Article"&gt;17&lt;/ref-type&gt;&lt;contributors&gt;&lt;authors&gt;&lt;author&gt;Aven, Terje&lt;/author&gt;&lt;/authors&gt;&lt;/contributors&gt;&lt;titles&gt;&lt;title&gt;The concept of antifragility and its implications for the practice of risk analysis&lt;/title&gt;&lt;secondary-title&gt;Risk analysis&lt;/secondary-title&gt;&lt;/titles&gt;&lt;periodical&gt;&lt;full-title&gt;Risk analysis&lt;/full-title&gt;&lt;/periodical&gt;&lt;pages&gt;476-483&lt;/pages&gt;&lt;volume&gt;35&lt;/volume&gt;&lt;number&gt;3&lt;/number&gt;&lt;dates&gt;&lt;year&gt;2015&lt;/year&gt;&lt;/dates&gt;&lt;isbn&gt;0272-4332&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[10]</w:t>
      </w:r>
      <w:r w:rsidR="005403AB">
        <w:rPr>
          <w:rFonts w:asciiTheme="majorBidi" w:hAnsiTheme="majorBidi" w:cstheme="majorBidi"/>
          <w:sz w:val="20"/>
          <w:szCs w:val="20"/>
        </w:rPr>
        <w:fldChar w:fldCharType="end"/>
      </w:r>
      <w:r w:rsidRPr="008325E8">
        <w:rPr>
          <w:rFonts w:asciiTheme="majorBidi" w:hAnsiTheme="majorBidi" w:cstheme="majorBidi"/>
          <w:sz w:val="20"/>
          <w:szCs w:val="20"/>
        </w:rPr>
        <w:t>. In high-hazard process industries (HHPIs), this means safety training should help people learn from operational changes and challenges, building skills rather than just passing down rules.</w:t>
      </w:r>
    </w:p>
    <w:p w14:paraId="41802EAE" w14:textId="1C1E9B33" w:rsidR="008325E8" w:rsidRDefault="008325E8" w:rsidP="008325E8">
      <w:pPr>
        <w:jc w:val="both"/>
        <w:rPr>
          <w:rFonts w:asciiTheme="majorBidi" w:hAnsiTheme="majorBidi" w:cstheme="majorBidi"/>
          <w:sz w:val="20"/>
          <w:szCs w:val="20"/>
          <w:rtl/>
        </w:rPr>
      </w:pPr>
      <w:r w:rsidRPr="008325E8">
        <w:rPr>
          <w:rFonts w:asciiTheme="majorBidi" w:hAnsiTheme="majorBidi" w:cstheme="majorBidi"/>
          <w:sz w:val="20"/>
          <w:szCs w:val="20"/>
        </w:rPr>
        <w:t xml:space="preserve">This approach aligns with the Safety-II perspective, which focuses on how safe outcomes are achieved in everyday work and on the need to monitor and respond to changes in systems and environments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&lt;EndNote&gt;&lt;Cite&gt;&lt;Author&gt;Ham&lt;/Author&gt;&lt;Year&gt;2021&lt;/Year&gt;&lt;RecNum&gt;3&lt;/RecNum&gt;&lt;DisplayText&gt;[2]&lt;/DisplayText&gt;&lt;record&gt;&lt;rec-number&gt;3&lt;/rec-number&gt;&lt;foreign-keys&gt;&lt;key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[2]</w:t>
      </w:r>
      <w:r w:rsidR="005403AB">
        <w:rPr>
          <w:rFonts w:asciiTheme="majorBidi" w:hAnsiTheme="majorBidi" w:cstheme="majorBidi"/>
          <w:sz w:val="20"/>
          <w:szCs w:val="20"/>
        </w:rPr>
        <w:fldChar w:fldCharType="end"/>
      </w:r>
      <w:r w:rsidRPr="008325E8">
        <w:rPr>
          <w:rFonts w:asciiTheme="majorBidi" w:hAnsiTheme="majorBidi" w:cstheme="majorBidi"/>
          <w:sz w:val="20"/>
          <w:szCs w:val="20"/>
        </w:rPr>
        <w:t>. Antifragility-based safety training can use three connected design elements: learning from near</w:t>
      </w:r>
      <w:r w:rsidR="002163AC">
        <w:rPr>
          <w:rFonts w:asciiTheme="majorBidi" w:hAnsiTheme="majorBidi" w:cstheme="majorBidi"/>
          <w:sz w:val="20"/>
          <w:szCs w:val="20"/>
        </w:rPr>
        <w:t>-</w:t>
      </w:r>
      <w:r w:rsidRPr="008325E8">
        <w:rPr>
          <w:rFonts w:asciiTheme="majorBidi" w:hAnsiTheme="majorBidi" w:cstheme="majorBidi"/>
          <w:sz w:val="20"/>
          <w:szCs w:val="20"/>
        </w:rPr>
        <w:t xml:space="preserve">misses as regular early warnings, using scenario engineering to create controlled practice situations, and setting up quick feedback loops to support and strengthen safe behavior over time </w:t>
      </w:r>
      <w:r w:rsidR="005403AB">
        <w:rPr>
          <w:rFonts w:asciiTheme="majorBidi" w:hAnsiTheme="majorBidi" w:cstheme="majorBidi"/>
          <w:sz w:val="20"/>
          <w:szCs w:val="20"/>
        </w:rPr>
        <w:fldChar w:fldCharType="begin">
          <w:fldData xml:space="preserve">PEVuZE5vdGU+PENpdGU+PEF1dGhvcj5NYXJ0aW5ldHRpPC9BdXRob3I+PFllYXI+MjAxOTwvWWVh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==
</w:fldData>
        </w:fldChar>
      </w:r>
      <w:r w:rsidR="005403AB">
        <w:rPr>
          <w:rFonts w:asciiTheme="majorBidi" w:hAnsiTheme="majorBidi" w:cstheme="majorBidi"/>
          <w:sz w:val="20"/>
          <w:szCs w:val="20"/>
        </w:rPr>
        <w:instrText xml:space="preserve"> ADDIN EN.CITE </w:instrText>
      </w:r>
      <w:r w:rsidR="005403AB">
        <w:rPr>
          <w:rFonts w:asciiTheme="majorBidi" w:hAnsiTheme="majorBidi" w:cstheme="majorBidi"/>
          <w:sz w:val="20"/>
          <w:szCs w:val="20"/>
        </w:rPr>
        <w:fldChar w:fldCharType="begin">
          <w:fldData xml:space="preserve">PEVuZE5vdGU+PENpdGU+PEF1dGhvcj5NYXJ0aW5ldHRpPC9BdXRob3I+PFllYXI+MjAxOTwvWWVh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==
</w:fldData>
        </w:fldChar>
      </w:r>
      <w:r w:rsidR="005403AB">
        <w:rPr>
          <w:rFonts w:asciiTheme="majorBidi" w:hAnsiTheme="majorBidi" w:cstheme="majorBidi"/>
          <w:sz w:val="20"/>
          <w:szCs w:val="20"/>
        </w:rPr>
        <w:instrText xml:space="preserve"> ADDIN EN.CITE.DATA </w:instrText>
      </w:r>
      <w:r w:rsidR="005403AB">
        <w:rPr>
          <w:rFonts w:asciiTheme="majorBidi" w:hAnsiTheme="majorBidi" w:cstheme="majorBidi"/>
          <w:sz w:val="20"/>
          <w:szCs w:val="20"/>
        </w:rPr>
      </w:r>
      <w:r w:rsidR="005403AB">
        <w:rPr>
          <w:rFonts w:asciiTheme="majorBidi" w:hAnsiTheme="majorBidi" w:cstheme="majorBidi"/>
          <w:sz w:val="20"/>
          <w:szCs w:val="20"/>
        </w:rPr>
        <w:fldChar w:fldCharType="end"/>
      </w:r>
      <w:r w:rsidR="005403AB">
        <w:rPr>
          <w:rFonts w:asciiTheme="majorBidi" w:hAnsiTheme="majorBidi" w:cstheme="majorBidi"/>
          <w:sz w:val="20"/>
          <w:szCs w:val="20"/>
        </w:rPr>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[4, 9, 10]</w:t>
      </w:r>
      <w:r w:rsidR="005403AB">
        <w:rPr>
          <w:rFonts w:asciiTheme="majorBidi" w:hAnsiTheme="majorBidi" w:cstheme="majorBidi"/>
          <w:sz w:val="20"/>
          <w:szCs w:val="20"/>
        </w:rPr>
        <w:fldChar w:fldCharType="end"/>
      </w:r>
      <w:r w:rsidRPr="008325E8">
        <w:rPr>
          <w:rFonts w:asciiTheme="majorBidi" w:hAnsiTheme="majorBidi" w:cstheme="majorBidi"/>
          <w:sz w:val="20"/>
          <w:szCs w:val="20"/>
        </w:rPr>
        <w:t>.</w:t>
      </w:r>
    </w:p>
    <w:p w14:paraId="18771613" w14:textId="77777777" w:rsidR="00866AF8" w:rsidRDefault="00866AF8" w:rsidP="00866AF8">
      <w:pPr>
        <w:jc w:val="both"/>
        <w:rPr>
          <w:rFonts w:asciiTheme="majorBidi" w:hAnsiTheme="majorBidi" w:cstheme="majorBidi"/>
          <w:sz w:val="20"/>
          <w:szCs w:val="20"/>
        </w:rPr>
      </w:pPr>
      <w:r w:rsidRPr="00866AF8">
        <w:rPr>
          <w:rFonts w:asciiTheme="majorBidi" w:hAnsiTheme="majorBidi" w:cstheme="majorBidi"/>
          <w:sz w:val="20"/>
          <w:szCs w:val="20"/>
        </w:rPr>
        <w:t xml:space="preserve">3.1. </w:t>
      </w:r>
      <w:r w:rsidR="008325E8" w:rsidRPr="00866AF8">
        <w:rPr>
          <w:rFonts w:asciiTheme="majorBidi" w:hAnsiTheme="majorBidi" w:cstheme="majorBidi"/>
          <w:sz w:val="20"/>
          <w:szCs w:val="20"/>
        </w:rPr>
        <w:t>Near</w:t>
      </w:r>
      <w:r w:rsidR="002163AC" w:rsidRPr="00866AF8">
        <w:rPr>
          <w:rFonts w:asciiTheme="majorBidi" w:hAnsiTheme="majorBidi" w:cstheme="majorBidi"/>
          <w:sz w:val="20"/>
          <w:szCs w:val="20"/>
        </w:rPr>
        <w:t>-</w:t>
      </w:r>
      <w:r w:rsidR="008325E8" w:rsidRPr="00866AF8">
        <w:rPr>
          <w:rFonts w:asciiTheme="majorBidi" w:hAnsiTheme="majorBidi" w:cstheme="majorBidi"/>
          <w:sz w:val="20"/>
          <w:szCs w:val="20"/>
        </w:rPr>
        <w:t>misses as a high-frequency learning substrate for antifragile training</w:t>
      </w:r>
    </w:p>
    <w:p w14:paraId="3DE3B4A2" w14:textId="32664523" w:rsidR="008325E8" w:rsidRPr="008325E8" w:rsidRDefault="008325E8" w:rsidP="00866AF8">
      <w:pPr>
        <w:jc w:val="both"/>
        <w:rPr>
          <w:rFonts w:asciiTheme="majorBidi" w:hAnsiTheme="majorBidi" w:cstheme="majorBidi"/>
          <w:sz w:val="20"/>
          <w:szCs w:val="20"/>
        </w:rPr>
      </w:pPr>
      <w:r w:rsidRPr="008325E8">
        <w:rPr>
          <w:rFonts w:asciiTheme="majorBidi" w:hAnsiTheme="majorBidi" w:cstheme="majorBidi"/>
          <w:sz w:val="20"/>
          <w:szCs w:val="20"/>
        </w:rPr>
        <w:lastRenderedPageBreak/>
        <w:t>Near</w:t>
      </w:r>
      <w:r w:rsidR="002163AC">
        <w:rPr>
          <w:rFonts w:asciiTheme="majorBidi" w:hAnsiTheme="majorBidi" w:cstheme="majorBidi"/>
          <w:sz w:val="20"/>
          <w:szCs w:val="20"/>
        </w:rPr>
        <w:t>-</w:t>
      </w:r>
      <w:r w:rsidRPr="008325E8">
        <w:rPr>
          <w:rFonts w:asciiTheme="majorBidi" w:hAnsiTheme="majorBidi" w:cstheme="majorBidi"/>
          <w:sz w:val="20"/>
          <w:szCs w:val="20"/>
        </w:rPr>
        <w:t xml:space="preserve">misses are situations that could have led to more serious outcomes but did not, providing insight into potential accidents if problems are not addressed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[11]</w:t>
      </w:r>
      <w:r w:rsidR="005403AB">
        <w:rPr>
          <w:rFonts w:asciiTheme="majorBidi" w:hAnsiTheme="majorBidi" w:cstheme="majorBidi"/>
          <w:sz w:val="20"/>
          <w:szCs w:val="20"/>
        </w:rPr>
        <w:fldChar w:fldCharType="end"/>
      </w:r>
      <w:r w:rsidRPr="008325E8">
        <w:rPr>
          <w:rFonts w:asciiTheme="majorBidi" w:hAnsiTheme="majorBidi" w:cstheme="majorBidi"/>
          <w:sz w:val="20"/>
          <w:szCs w:val="20"/>
        </w:rPr>
        <w:t xml:space="preserve">. In the chemical process industry, managing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incidents helps improve EHS performance by identifying, reporting, analyzing, and resolving these events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[11]</w:t>
      </w:r>
      <w:r w:rsidR="005403AB">
        <w:rPr>
          <w:rFonts w:asciiTheme="majorBidi" w:hAnsiTheme="majorBidi" w:cstheme="majorBidi"/>
          <w:sz w:val="20"/>
          <w:szCs w:val="20"/>
        </w:rPr>
        <w:fldChar w:fldCharType="end"/>
      </w:r>
      <w:r w:rsidRPr="008325E8">
        <w:rPr>
          <w:rFonts w:asciiTheme="majorBidi" w:hAnsiTheme="majorBidi" w:cstheme="majorBidi"/>
          <w:sz w:val="20"/>
          <w:szCs w:val="20"/>
        </w:rPr>
        <w:t xml:space="preserve">. Phimister et al. created a structured framework for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management with seven steps: identification, reporting, prioritization and distribution, causal analysis, solution identification, dissemination, and resolution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[11]</w:t>
      </w:r>
      <w:r w:rsidR="005403AB">
        <w:rPr>
          <w:rFonts w:asciiTheme="majorBidi" w:hAnsiTheme="majorBidi" w:cstheme="majorBidi"/>
          <w:sz w:val="20"/>
          <w:szCs w:val="20"/>
        </w:rPr>
        <w:fldChar w:fldCharType="end"/>
      </w:r>
      <w:r w:rsidRPr="008325E8">
        <w:rPr>
          <w:rFonts w:asciiTheme="majorBidi" w:hAnsiTheme="majorBidi" w:cstheme="majorBidi"/>
          <w:sz w:val="20"/>
          <w:szCs w:val="20"/>
        </w:rPr>
        <w:t xml:space="preserve">. This framework is called “conjunctive” because if any step is weak, it reduces the overall safety benefits from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information </w:t>
      </w:r>
      <w:r w:rsidR="005403AB">
        <w:rPr>
          <w:rFonts w:asciiTheme="majorBidi" w:hAnsiTheme="majorBidi" w:cstheme="majorBidi"/>
          <w:sz w:val="20"/>
          <w:szCs w:val="20"/>
        </w:rPr>
        <w:fldChar w:fldCharType="begin"/>
      </w:r>
      <w:r w:rsidR="005403A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403AB">
        <w:rPr>
          <w:rFonts w:asciiTheme="majorBidi" w:hAnsiTheme="majorBidi" w:cstheme="majorBidi"/>
          <w:sz w:val="20"/>
          <w:szCs w:val="20"/>
        </w:rPr>
        <w:fldChar w:fldCharType="separate"/>
      </w:r>
      <w:r w:rsidR="005403AB">
        <w:rPr>
          <w:rFonts w:asciiTheme="majorBidi" w:hAnsiTheme="majorBidi" w:cstheme="majorBidi"/>
          <w:noProof/>
          <w:sz w:val="20"/>
          <w:szCs w:val="20"/>
        </w:rPr>
        <w:t>[11]</w:t>
      </w:r>
      <w:r w:rsidR="005403AB">
        <w:rPr>
          <w:rFonts w:asciiTheme="majorBidi" w:hAnsiTheme="majorBidi" w:cstheme="majorBidi"/>
          <w:sz w:val="20"/>
          <w:szCs w:val="20"/>
        </w:rPr>
        <w:fldChar w:fldCharType="end"/>
      </w:r>
      <w:r w:rsidRPr="008325E8">
        <w:rPr>
          <w:rFonts w:asciiTheme="majorBidi" w:hAnsiTheme="majorBidi" w:cstheme="majorBidi"/>
          <w:sz w:val="20"/>
          <w:szCs w:val="20"/>
        </w:rPr>
        <w:t>.</w:t>
      </w:r>
    </w:p>
    <w:p w14:paraId="7797E86C" w14:textId="403EDB05" w:rsidR="008325E8" w:rsidRPr="008325E8" w:rsidRDefault="008325E8" w:rsidP="002042E1">
      <w:pPr>
        <w:jc w:val="both"/>
        <w:rPr>
          <w:rFonts w:asciiTheme="majorBidi" w:hAnsiTheme="majorBidi" w:cstheme="majorBidi"/>
          <w:sz w:val="20"/>
          <w:szCs w:val="20"/>
        </w:rPr>
      </w:pPr>
      <w:r w:rsidRPr="008325E8">
        <w:rPr>
          <w:rFonts w:asciiTheme="majorBidi" w:hAnsiTheme="majorBidi" w:cstheme="majorBidi"/>
          <w:sz w:val="20"/>
          <w:szCs w:val="20"/>
        </w:rPr>
        <w:t xml:space="preserve">From a training perspective that values antifragility,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systems do more than just keep records. They offer ongoing, realistic learning based on real work situations. The literature identifies design challenges, such as the lack of shared definitions and standards for building effective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management systems, which make learning and comparison across organizations difficult </w:t>
      </w:r>
      <w:r w:rsidR="00502F2B">
        <w:rPr>
          <w:rFonts w:asciiTheme="majorBidi" w:hAnsiTheme="majorBidi" w:cstheme="majorBidi"/>
          <w:sz w:val="20"/>
          <w:szCs w:val="20"/>
        </w:rPr>
        <w:fldChar w:fldCharType="begin"/>
      </w:r>
      <w:r w:rsidR="00502F2B">
        <w:rPr>
          <w:rFonts w:asciiTheme="majorBidi" w:hAnsiTheme="majorBidi" w:cstheme="majorBidi"/>
          <w:sz w:val="20"/>
          <w:szCs w:val="20"/>
        </w:rPr>
        <w:instrText xml:space="preserve"> ADDIN EN.CITE &lt;EndNote&gt;&lt;Cite&gt;&lt;Author&gt;Gnoni&lt;/Author&gt;&lt;Year&gt;2022&lt;/Year&gt;&lt;RecNum&gt;6&lt;/RecNum&gt;&lt;DisplayText&gt;[5]&lt;/DisplayText&gt;&lt;record&gt;&lt;rec-number&gt;6&lt;/rec-number&gt;&lt;foreign-keys&gt;&lt;key app="EN" db-id="dz0tx9r22vexwlee5zcv2d92r92sp99dxwfv" timestamp="1766498252"&gt;6&lt;/key&gt;&lt;/foreign-keys&gt;&lt;ref-type name="Journal Article"&gt;17&lt;/ref-type&gt;&lt;contributors&gt;&lt;authors&gt;&lt;author&gt;Gnoni, Maria Grazia&lt;/author&gt;&lt;author&gt;Tornese, Fabiana&lt;/author&gt;&lt;author&gt;Guglielmi, A&lt;/author&gt;&lt;author&gt;Pellicci, M&lt;/author&gt;&lt;author&gt;Campo, G&lt;/author&gt;&lt;author&gt;De Merich, D&lt;/author&gt;&lt;/authors&gt;&lt;/contributors&gt;&lt;titles&gt;&lt;title&gt;Near miss management systems in the industrial sector: A literature review&lt;/title&gt;&lt;secondary-title&gt;Safety science&lt;/secondary-title&gt;&lt;/titles&gt;&lt;periodical&gt;&lt;full-title&gt;Safety science&lt;/full-title&gt;&lt;/periodical&gt;&lt;pages&gt;105704&lt;/pages&gt;&lt;volume&gt;150&lt;/volume&gt;&lt;dates&gt;&lt;year&gt;2022&lt;/year&gt;&lt;/dates&gt;&lt;isbn&gt;0925-7535&lt;/isbn&gt;&lt;urls&gt;&lt;/urls&gt;&lt;/record&gt;&lt;/Cite&gt;&lt;/EndNote&gt;</w:instrText>
      </w:r>
      <w:r w:rsidR="00502F2B">
        <w:rPr>
          <w:rFonts w:asciiTheme="majorBidi" w:hAnsiTheme="majorBidi" w:cstheme="majorBidi"/>
          <w:sz w:val="20"/>
          <w:szCs w:val="20"/>
        </w:rPr>
        <w:fldChar w:fldCharType="separate"/>
      </w:r>
      <w:r w:rsidR="00502F2B">
        <w:rPr>
          <w:rFonts w:asciiTheme="majorBidi" w:hAnsiTheme="majorBidi" w:cstheme="majorBidi"/>
          <w:noProof/>
          <w:sz w:val="20"/>
          <w:szCs w:val="20"/>
        </w:rPr>
        <w:t>[5]</w:t>
      </w:r>
      <w:r w:rsidR="00502F2B">
        <w:rPr>
          <w:rFonts w:asciiTheme="majorBidi" w:hAnsiTheme="majorBidi" w:cstheme="majorBidi"/>
          <w:sz w:val="20"/>
          <w:szCs w:val="20"/>
        </w:rPr>
        <w:fldChar w:fldCharType="end"/>
      </w:r>
      <w:r w:rsidRPr="008325E8">
        <w:rPr>
          <w:rFonts w:asciiTheme="majorBidi" w:hAnsiTheme="majorBidi" w:cstheme="majorBidi"/>
          <w:sz w:val="20"/>
          <w:szCs w:val="20"/>
        </w:rPr>
        <w:t>. Using both Safety-I and Safety-II approaches also changes what we learn from near</w:t>
      </w:r>
      <w:r w:rsidR="006E327B">
        <w:rPr>
          <w:rFonts w:asciiTheme="majorBidi" w:hAnsiTheme="majorBidi" w:cstheme="majorBidi"/>
          <w:sz w:val="20"/>
          <w:szCs w:val="20"/>
        </w:rPr>
        <w:t>-</w:t>
      </w:r>
      <w:r w:rsidRPr="008325E8">
        <w:rPr>
          <w:rFonts w:asciiTheme="majorBidi" w:hAnsiTheme="majorBidi" w:cstheme="majorBidi"/>
          <w:sz w:val="20"/>
          <w:szCs w:val="20"/>
        </w:rPr>
        <w:t xml:space="preserve">misses. Instead of focusing only on what went wrong,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analysis can examine the factors and conditions that led to the event, as well as the protective measures that prevented it from worsening </w:t>
      </w:r>
      <w:r w:rsidR="00502F2B">
        <w:rPr>
          <w:rFonts w:asciiTheme="majorBidi" w:hAnsiTheme="majorBidi" w:cstheme="majorBidi"/>
          <w:sz w:val="20"/>
          <w:szCs w:val="20"/>
        </w:rPr>
        <w:fldChar w:fldCharType="begin"/>
      </w:r>
      <w:r w:rsidR="00502F2B">
        <w:rPr>
          <w:rFonts w:asciiTheme="majorBidi" w:hAnsiTheme="majorBidi" w:cstheme="majorBidi"/>
          <w:sz w:val="20"/>
          <w:szCs w:val="20"/>
        </w:rPr>
        <w:instrText xml:space="preserve"> ADDIN EN.CITE &lt;EndNote&gt;&lt;Cite&gt;&lt;Author&gt;De Leo&lt;/Author&gt;&lt;Year&gt;2023&lt;/Year&gt;&lt;RecNum&gt;5&lt;/RecNum&gt;&lt;DisplayText&gt;[4]&lt;/DisplayText&gt;&lt;record&gt;&lt;rec-number&gt;5&lt;/rec-number&gt;&lt;foreign-keys&gt;&lt;key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502F2B">
        <w:rPr>
          <w:rFonts w:asciiTheme="majorBidi" w:hAnsiTheme="majorBidi" w:cstheme="majorBidi"/>
          <w:sz w:val="20"/>
          <w:szCs w:val="20"/>
        </w:rPr>
        <w:fldChar w:fldCharType="separate"/>
      </w:r>
      <w:r w:rsidR="00502F2B">
        <w:rPr>
          <w:rFonts w:asciiTheme="majorBidi" w:hAnsiTheme="majorBidi" w:cstheme="majorBidi"/>
          <w:noProof/>
          <w:sz w:val="20"/>
          <w:szCs w:val="20"/>
        </w:rPr>
        <w:t>[4]</w:t>
      </w:r>
      <w:r w:rsidR="00502F2B">
        <w:rPr>
          <w:rFonts w:asciiTheme="majorBidi" w:hAnsiTheme="majorBidi" w:cstheme="majorBidi"/>
          <w:sz w:val="20"/>
          <w:szCs w:val="20"/>
        </w:rPr>
        <w:fldChar w:fldCharType="end"/>
      </w:r>
      <w:r w:rsidRPr="008325E8">
        <w:rPr>
          <w:rFonts w:asciiTheme="majorBidi" w:hAnsiTheme="majorBidi" w:cstheme="majorBidi"/>
          <w:sz w:val="20"/>
          <w:szCs w:val="20"/>
        </w:rPr>
        <w:t>. This means solutions should not only prevent the same problem from happening again</w:t>
      </w:r>
      <w:r w:rsidR="00502F2B">
        <w:rPr>
          <w:rFonts w:asciiTheme="majorBidi" w:hAnsiTheme="majorBidi" w:cstheme="majorBidi"/>
          <w:sz w:val="20"/>
          <w:szCs w:val="20"/>
        </w:rPr>
        <w:t>,</w:t>
      </w:r>
      <w:r w:rsidRPr="008325E8">
        <w:rPr>
          <w:rFonts w:asciiTheme="majorBidi" w:hAnsiTheme="majorBidi" w:cstheme="majorBidi"/>
          <w:sz w:val="20"/>
          <w:szCs w:val="20"/>
        </w:rPr>
        <w:t xml:space="preserve"> but also strengthen the systems and barriers that worked well in changing conditions </w:t>
      </w:r>
      <w:r w:rsidR="00502F2B">
        <w:rPr>
          <w:rFonts w:asciiTheme="majorBidi" w:hAnsiTheme="majorBidi" w:cstheme="majorBidi"/>
          <w:sz w:val="20"/>
          <w:szCs w:val="20"/>
        </w:rPr>
        <w:fldChar w:fldCharType="begin"/>
      </w:r>
      <w:r w:rsidR="00502F2B">
        <w:rPr>
          <w:rFonts w:asciiTheme="majorBidi" w:hAnsiTheme="majorBidi" w:cstheme="majorBidi"/>
          <w:sz w:val="20"/>
          <w:szCs w:val="20"/>
        </w:rPr>
        <w:instrText xml:space="preserve"> ADDIN EN.CITE &lt;EndNote&gt;&lt;Cite&gt;&lt;Author&gt;De Leo&lt;/Author&gt;&lt;Year&gt;2023&lt;/Year&gt;&lt;RecNum&gt;5&lt;/RecNum&gt;&lt;DisplayText&gt;[4]&lt;/DisplayText&gt;&lt;record&gt;&lt;rec-number&gt;5&lt;/rec-number&gt;&lt;foreign-keys&gt;&lt;key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502F2B">
        <w:rPr>
          <w:rFonts w:asciiTheme="majorBidi" w:hAnsiTheme="majorBidi" w:cstheme="majorBidi"/>
          <w:sz w:val="20"/>
          <w:szCs w:val="20"/>
        </w:rPr>
        <w:fldChar w:fldCharType="separate"/>
      </w:r>
      <w:r w:rsidR="00502F2B">
        <w:rPr>
          <w:rFonts w:asciiTheme="majorBidi" w:hAnsiTheme="majorBidi" w:cstheme="majorBidi"/>
          <w:noProof/>
          <w:sz w:val="20"/>
          <w:szCs w:val="20"/>
        </w:rPr>
        <w:t>[4]</w:t>
      </w:r>
      <w:r w:rsidR="00502F2B">
        <w:rPr>
          <w:rFonts w:asciiTheme="majorBidi" w:hAnsiTheme="majorBidi" w:cstheme="majorBidi"/>
          <w:sz w:val="20"/>
          <w:szCs w:val="20"/>
        </w:rPr>
        <w:fldChar w:fldCharType="end"/>
      </w:r>
      <w:r w:rsidRPr="008325E8">
        <w:rPr>
          <w:rFonts w:asciiTheme="majorBidi" w:hAnsiTheme="majorBidi" w:cstheme="majorBidi"/>
          <w:sz w:val="20"/>
          <w:szCs w:val="20"/>
        </w:rPr>
        <w:t>.</w:t>
      </w:r>
    </w:p>
    <w:p w14:paraId="6C112E85" w14:textId="0ADAE56A" w:rsidR="008325E8" w:rsidRPr="008325E8" w:rsidRDefault="008325E8" w:rsidP="002042E1">
      <w:pPr>
        <w:jc w:val="both"/>
        <w:rPr>
          <w:rFonts w:asciiTheme="majorBidi" w:hAnsiTheme="majorBidi" w:cstheme="majorBidi"/>
          <w:sz w:val="20"/>
          <w:szCs w:val="20"/>
        </w:rPr>
      </w:pPr>
      <w:r w:rsidRPr="008325E8">
        <w:rPr>
          <w:rFonts w:asciiTheme="majorBidi" w:hAnsiTheme="majorBidi" w:cstheme="majorBidi"/>
          <w:sz w:val="20"/>
          <w:szCs w:val="20"/>
        </w:rPr>
        <w:t>Near</w:t>
      </w:r>
      <w:r w:rsidR="002163AC">
        <w:rPr>
          <w:rFonts w:asciiTheme="majorBidi" w:hAnsiTheme="majorBidi" w:cstheme="majorBidi"/>
          <w:sz w:val="20"/>
          <w:szCs w:val="20"/>
        </w:rPr>
        <w:t>-</w:t>
      </w:r>
      <w:r w:rsidRPr="008325E8">
        <w:rPr>
          <w:rFonts w:asciiTheme="majorBidi" w:hAnsiTheme="majorBidi" w:cstheme="majorBidi"/>
          <w:sz w:val="20"/>
          <w:szCs w:val="20"/>
        </w:rPr>
        <w:t xml:space="preserve">misses help improve safety by making it easier to recognize hazards and understand situations through real examples. They also make early warning signs and barriers more visible, and encourage reporting and involvement when follow-up actions are clear </w:t>
      </w:r>
      <w:r w:rsidR="00502F2B">
        <w:rPr>
          <w:rFonts w:asciiTheme="majorBidi" w:hAnsiTheme="majorBidi" w:cstheme="majorBidi"/>
          <w:sz w:val="20"/>
          <w:szCs w:val="20"/>
        </w:rPr>
        <w:fldChar w:fldCharType="begin"/>
      </w:r>
      <w:r w:rsidR="00502F2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02F2B">
        <w:rPr>
          <w:rFonts w:asciiTheme="majorBidi" w:hAnsiTheme="majorBidi" w:cstheme="majorBidi"/>
          <w:sz w:val="20"/>
          <w:szCs w:val="20"/>
        </w:rPr>
        <w:fldChar w:fldCharType="separate"/>
      </w:r>
      <w:r w:rsidR="00502F2B">
        <w:rPr>
          <w:rFonts w:asciiTheme="majorBidi" w:hAnsiTheme="majorBidi" w:cstheme="majorBidi"/>
          <w:noProof/>
          <w:sz w:val="20"/>
          <w:szCs w:val="20"/>
        </w:rPr>
        <w:t>[11]</w:t>
      </w:r>
      <w:r w:rsidR="00502F2B">
        <w:rPr>
          <w:rFonts w:asciiTheme="majorBidi" w:hAnsiTheme="majorBidi" w:cstheme="majorBidi"/>
          <w:sz w:val="20"/>
          <w:szCs w:val="20"/>
        </w:rPr>
        <w:fldChar w:fldCharType="end"/>
      </w:r>
      <w:r w:rsidRPr="008325E8">
        <w:rPr>
          <w:rFonts w:asciiTheme="majorBidi" w:hAnsiTheme="majorBidi" w:cstheme="majorBidi"/>
          <w:sz w:val="20"/>
          <w:szCs w:val="20"/>
        </w:rPr>
        <w:t xml:space="preserve">. On the other hand, if people are reluctant to report or there is not enough follow-up, the organization learns less and misses out on the benefits of </w:t>
      </w:r>
      <w:r w:rsidR="002163AC">
        <w:rPr>
          <w:rFonts w:asciiTheme="majorBidi" w:hAnsiTheme="majorBidi" w:cstheme="majorBidi"/>
          <w:sz w:val="20"/>
          <w:szCs w:val="20"/>
        </w:rPr>
        <w:t>near-miss</w:t>
      </w:r>
      <w:r w:rsidRPr="008325E8">
        <w:rPr>
          <w:rFonts w:asciiTheme="majorBidi" w:hAnsiTheme="majorBidi" w:cstheme="majorBidi"/>
          <w:sz w:val="20"/>
          <w:szCs w:val="20"/>
        </w:rPr>
        <w:t xml:space="preserve"> information </w:t>
      </w:r>
      <w:r w:rsidR="00502F2B">
        <w:rPr>
          <w:rFonts w:asciiTheme="majorBidi" w:hAnsiTheme="majorBidi" w:cstheme="majorBidi"/>
          <w:sz w:val="20"/>
          <w:szCs w:val="20"/>
        </w:rPr>
        <w:fldChar w:fldCharType="begin"/>
      </w:r>
      <w:r w:rsidR="00502F2B">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502F2B">
        <w:rPr>
          <w:rFonts w:asciiTheme="majorBidi" w:hAnsiTheme="majorBidi" w:cstheme="majorBidi"/>
          <w:sz w:val="20"/>
          <w:szCs w:val="20"/>
        </w:rPr>
        <w:fldChar w:fldCharType="separate"/>
      </w:r>
      <w:r w:rsidR="00502F2B">
        <w:rPr>
          <w:rFonts w:asciiTheme="majorBidi" w:hAnsiTheme="majorBidi" w:cstheme="majorBidi"/>
          <w:noProof/>
          <w:sz w:val="20"/>
          <w:szCs w:val="20"/>
        </w:rPr>
        <w:t>[11]</w:t>
      </w:r>
      <w:r w:rsidR="00502F2B">
        <w:rPr>
          <w:rFonts w:asciiTheme="majorBidi" w:hAnsiTheme="majorBidi" w:cstheme="majorBidi"/>
          <w:sz w:val="20"/>
          <w:szCs w:val="20"/>
        </w:rPr>
        <w:fldChar w:fldCharType="end"/>
      </w:r>
      <w:r w:rsidRPr="008325E8">
        <w:rPr>
          <w:rFonts w:asciiTheme="majorBidi" w:hAnsiTheme="majorBidi" w:cstheme="majorBidi"/>
          <w:sz w:val="20"/>
          <w:szCs w:val="20"/>
        </w:rPr>
        <w:t>.</w:t>
      </w:r>
    </w:p>
    <w:p w14:paraId="7D96595E" w14:textId="4AD9C1DE" w:rsidR="00AC3517" w:rsidRPr="00866AF8" w:rsidRDefault="00866AF8" w:rsidP="002042E1">
      <w:pPr>
        <w:jc w:val="both"/>
        <w:rPr>
          <w:rFonts w:asciiTheme="majorBidi" w:hAnsiTheme="majorBidi" w:cstheme="majorBidi"/>
          <w:sz w:val="20"/>
          <w:szCs w:val="20"/>
          <w:rtl/>
        </w:rPr>
      </w:pPr>
      <w:r w:rsidRPr="00866AF8">
        <w:rPr>
          <w:rFonts w:asciiTheme="majorBidi" w:hAnsiTheme="majorBidi" w:cstheme="majorBidi"/>
          <w:sz w:val="20"/>
          <w:szCs w:val="20"/>
        </w:rPr>
        <w:t xml:space="preserve">3.2. </w:t>
      </w:r>
      <w:r w:rsidR="00AC3517" w:rsidRPr="00866AF8">
        <w:rPr>
          <w:rFonts w:asciiTheme="majorBidi" w:hAnsiTheme="majorBidi" w:cstheme="majorBidi"/>
          <w:sz w:val="20"/>
          <w:szCs w:val="20"/>
        </w:rPr>
        <w:t>Scenario engineering as controlled perturbation and skill rehearsal</w:t>
      </w:r>
    </w:p>
    <w:p w14:paraId="52D9F650" w14:textId="1857125D" w:rsidR="00AC3517" w:rsidRPr="00AC3517" w:rsidRDefault="00AC3517" w:rsidP="002042E1">
      <w:pPr>
        <w:jc w:val="both"/>
        <w:rPr>
          <w:rFonts w:asciiTheme="majorBidi" w:hAnsiTheme="majorBidi" w:cstheme="majorBidi"/>
          <w:sz w:val="20"/>
          <w:szCs w:val="20"/>
        </w:rPr>
      </w:pPr>
      <w:r w:rsidRPr="00AC3517">
        <w:rPr>
          <w:rFonts w:asciiTheme="majorBidi" w:hAnsiTheme="majorBidi" w:cstheme="majorBidi"/>
          <w:sz w:val="20"/>
          <w:szCs w:val="20"/>
        </w:rPr>
        <w:t xml:space="preserve">Scenario-based training helps people become more </w:t>
      </w:r>
      <w:r w:rsidR="00CC179A">
        <w:rPr>
          <w:rFonts w:asciiTheme="majorBidi" w:hAnsiTheme="majorBidi" w:cstheme="majorBidi"/>
          <w:sz w:val="20"/>
          <w:szCs w:val="20"/>
        </w:rPr>
        <w:t>antifragile</w:t>
      </w:r>
      <w:r w:rsidRPr="00AC3517">
        <w:rPr>
          <w:rFonts w:asciiTheme="majorBidi" w:hAnsiTheme="majorBidi" w:cstheme="majorBidi"/>
          <w:sz w:val="20"/>
          <w:szCs w:val="20"/>
        </w:rPr>
        <w:t xml:space="preserve"> by putting them through controlled challenges that mirror real-world changes, time pressure, unclear signals, and escalation, all while keeping them safe. Traditional safety training methods, such as manuals, lectures, and drills, have limitations. For example, drills might not give enough feedback for reviewing decisions, and recreating dangerous situations in real life can be too expensive, take too much time, or be unsafe</w:t>
      </w:r>
      <w:r w:rsidR="001114DA">
        <w:rPr>
          <w:rFonts w:asciiTheme="majorBidi" w:hAnsiTheme="majorBidi" w:cstheme="majorBidi"/>
          <w:sz w:val="20"/>
          <w:szCs w:val="20"/>
        </w:rPr>
        <w:t xml:space="preserve"> </w:t>
      </w:r>
      <w:r w:rsidR="001114DA">
        <w:rPr>
          <w:rFonts w:asciiTheme="majorBidi" w:hAnsiTheme="majorBidi" w:cstheme="majorBidi"/>
          <w:sz w:val="20"/>
          <w:szCs w:val="20"/>
        </w:rPr>
        <w:fldChar w:fldCharType="begin"/>
      </w:r>
      <w:r w:rsidR="001114DA">
        <w:rPr>
          <w:rFonts w:asciiTheme="majorBidi" w:hAnsiTheme="majorBidi" w:cstheme="majorBidi"/>
          <w:sz w:val="20"/>
          <w:szCs w:val="20"/>
        </w:rPr>
        <w:instrText xml:space="preserve"> ADDIN EN.CITE &lt;EndNote&gt;&lt;Cite&gt;&lt;Author&gt;Scorgie&lt;/Author&gt;&lt;Year&gt;2024&lt;/Year&gt;&lt;RecNum&gt;2&lt;/RecNum&gt;&lt;DisplayText&gt;[1]&lt;/DisplayText&gt;&lt;record&gt;&lt;rec-number&gt;2&lt;/rec-number&gt;&lt;foreign-keys&gt;&lt;key app="EN" db-id="dz0tx9r22vexwlee5zcv2d92r92sp99dxwfv" timestamp="1766496824"&gt;2&lt;/key&gt;&lt;/foreign-keys&gt;&lt;ref-type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science&lt;/full-title&gt;&lt;/periodical&gt;&lt;pages&gt;106372&lt;/pages&gt;&lt;volume&gt;171&lt;/volume&gt;&lt;dates&gt;&lt;year&gt;2024&lt;/year&gt;&lt;/dates&gt;&lt;isbn&gt;0925-7535&lt;/isbn&gt;&lt;urls&gt;&lt;/urls&gt;&lt;/record&gt;&lt;/Cite&gt;&lt;/EndNote&gt;</w:instrText>
      </w:r>
      <w:r w:rsidR="001114DA">
        <w:rPr>
          <w:rFonts w:asciiTheme="majorBidi" w:hAnsiTheme="majorBidi" w:cstheme="majorBidi"/>
          <w:sz w:val="20"/>
          <w:szCs w:val="20"/>
        </w:rPr>
        <w:fldChar w:fldCharType="separate"/>
      </w:r>
      <w:r w:rsidR="001114DA">
        <w:rPr>
          <w:rFonts w:asciiTheme="majorBidi" w:hAnsiTheme="majorBidi" w:cstheme="majorBidi"/>
          <w:noProof/>
          <w:sz w:val="20"/>
          <w:szCs w:val="20"/>
        </w:rPr>
        <w:t>[1]</w:t>
      </w:r>
      <w:r w:rsidR="001114DA">
        <w:rPr>
          <w:rFonts w:asciiTheme="majorBidi" w:hAnsiTheme="majorBidi" w:cstheme="majorBidi"/>
          <w:sz w:val="20"/>
          <w:szCs w:val="20"/>
        </w:rPr>
        <w:fldChar w:fldCharType="end"/>
      </w:r>
      <w:r w:rsidR="001114DA">
        <w:rPr>
          <w:rFonts w:asciiTheme="majorBidi" w:hAnsiTheme="majorBidi" w:cstheme="majorBidi"/>
          <w:sz w:val="20"/>
          <w:szCs w:val="20"/>
        </w:rPr>
        <w:t xml:space="preserve">. </w:t>
      </w:r>
      <w:r w:rsidRPr="00AC3517">
        <w:rPr>
          <w:rFonts w:asciiTheme="majorBidi" w:hAnsiTheme="majorBidi" w:cstheme="majorBidi"/>
          <w:sz w:val="20"/>
          <w:szCs w:val="20"/>
        </w:rPr>
        <w:t>Immersive, simulation-based training solves these problems by allowing trainees to face hazardous situations and make decisions safely as many times as needed</w:t>
      </w:r>
      <w:r w:rsidR="001114DA">
        <w:rPr>
          <w:rFonts w:asciiTheme="majorBidi" w:hAnsiTheme="majorBidi" w:cstheme="majorBidi"/>
          <w:sz w:val="20"/>
          <w:szCs w:val="20"/>
        </w:rPr>
        <w:t xml:space="preserve"> </w:t>
      </w:r>
      <w:r w:rsidR="001114DA">
        <w:rPr>
          <w:rFonts w:asciiTheme="majorBidi" w:hAnsiTheme="majorBidi" w:cstheme="majorBidi"/>
          <w:sz w:val="20"/>
          <w:szCs w:val="20"/>
        </w:rPr>
        <w:fldChar w:fldCharType="begin"/>
      </w:r>
      <w:r w:rsidR="001114DA">
        <w:rPr>
          <w:rFonts w:asciiTheme="majorBidi" w:hAnsiTheme="majorBidi" w:cstheme="majorBidi"/>
          <w:sz w:val="20"/>
          <w:szCs w:val="20"/>
        </w:rPr>
        <w:instrText xml:space="preserve"> ADDIN EN.CITE &lt;EndNote&gt;&lt;Cite&gt;&lt;Author&gt;Scorgie&lt;/Author&gt;&lt;Year&gt;2024&lt;/Year&gt;&lt;RecNum&gt;2&lt;/RecNum&gt;&lt;DisplayText&gt;[1]&lt;/DisplayText&gt;&lt;record&gt;&lt;rec-number&gt;2&lt;/rec-number&gt;&lt;foreign-keys&gt;&lt;key app="EN" db-id="dz0tx9r22vexwlee5zcv2d92r92sp99dxwfv" timestamp="1766496824"&gt;2&lt;/key&gt;&lt;/foreign-keys&gt;&lt;ref-type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science&lt;/full-title&gt;&lt;/periodical&gt;&lt;pages&gt;106372&lt;/pages&gt;&lt;volume&gt;171&lt;/volume&gt;&lt;dates&gt;&lt;year&gt;2024&lt;/year&gt;&lt;/dates&gt;&lt;isbn&gt;0925-7535&lt;/isbn&gt;&lt;urls&gt;&lt;/urls&gt;&lt;/record&gt;&lt;/Cite&gt;&lt;/EndNote&gt;</w:instrText>
      </w:r>
      <w:r w:rsidR="001114DA">
        <w:rPr>
          <w:rFonts w:asciiTheme="majorBidi" w:hAnsiTheme="majorBidi" w:cstheme="majorBidi"/>
          <w:sz w:val="20"/>
          <w:szCs w:val="20"/>
        </w:rPr>
        <w:fldChar w:fldCharType="separate"/>
      </w:r>
      <w:r w:rsidR="001114DA">
        <w:rPr>
          <w:rFonts w:asciiTheme="majorBidi" w:hAnsiTheme="majorBidi" w:cstheme="majorBidi"/>
          <w:noProof/>
          <w:sz w:val="20"/>
          <w:szCs w:val="20"/>
        </w:rPr>
        <w:t>[1]</w:t>
      </w:r>
      <w:r w:rsidR="001114DA">
        <w:rPr>
          <w:rFonts w:asciiTheme="majorBidi" w:hAnsiTheme="majorBidi" w:cstheme="majorBidi"/>
          <w:sz w:val="20"/>
          <w:szCs w:val="20"/>
        </w:rPr>
        <w:fldChar w:fldCharType="end"/>
      </w:r>
      <w:r w:rsidRPr="00AC3517">
        <w:rPr>
          <w:rFonts w:asciiTheme="majorBidi" w:hAnsiTheme="majorBidi" w:cstheme="majorBidi"/>
          <w:sz w:val="20"/>
          <w:szCs w:val="20"/>
        </w:rPr>
        <w:t xml:space="preserve">. </w:t>
      </w:r>
    </w:p>
    <w:p w14:paraId="2679BF6B" w14:textId="49661300" w:rsidR="00AC3517" w:rsidRPr="00AC3517" w:rsidRDefault="00AC3517" w:rsidP="002042E1">
      <w:pPr>
        <w:jc w:val="both"/>
        <w:rPr>
          <w:rFonts w:asciiTheme="majorBidi" w:hAnsiTheme="majorBidi" w:cstheme="majorBidi"/>
          <w:sz w:val="20"/>
          <w:szCs w:val="20"/>
        </w:rPr>
      </w:pPr>
      <w:r w:rsidRPr="00AC3517">
        <w:rPr>
          <w:rFonts w:asciiTheme="majorBidi" w:hAnsiTheme="majorBidi" w:cstheme="majorBidi"/>
          <w:sz w:val="20"/>
          <w:szCs w:val="20"/>
        </w:rPr>
        <w:t>In the process industry, operator training simulators (OTS) provide scenario-based training for responding to chemical accidents, which requires teamwork and coordination</w:t>
      </w:r>
      <w:r w:rsidR="008A2211">
        <w:rPr>
          <w:rFonts w:asciiTheme="majorBidi" w:hAnsiTheme="majorBidi" w:cstheme="majorBidi"/>
          <w:sz w:val="20"/>
          <w:szCs w:val="20"/>
        </w:rPr>
        <w:t xml:space="preserve"> </w:t>
      </w:r>
      <w:r w:rsidR="008A2211">
        <w:rPr>
          <w:rFonts w:asciiTheme="majorBidi" w:hAnsiTheme="majorBidi" w:cstheme="majorBidi"/>
          <w:sz w:val="20"/>
          <w:szCs w:val="20"/>
        </w:rPr>
        <w:fldChar w:fldCharType="begin"/>
      </w:r>
      <w:r w:rsidR="008A2211">
        <w:rPr>
          <w:rFonts w:asciiTheme="majorBidi" w:hAnsiTheme="majorBidi" w:cstheme="majorBidi"/>
          <w:sz w:val="20"/>
          <w:szCs w:val="20"/>
        </w:rPr>
        <w:instrText xml:space="preserve"> ADDIN EN.CITE &lt;EndNote&gt;&lt;Cite&gt;&lt;Author&gt;Lee&lt;/Author&gt;&lt;Year&gt;2023&lt;/Year&gt;&lt;RecNum&gt;7&lt;/RecNum&gt;&lt;DisplayText&gt;[6]&lt;/DisplayText&gt;&lt;record&gt;&lt;rec-number&gt;7&lt;/rec-number&gt;&lt;foreign-keys&gt;&lt;key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8A2211">
        <w:rPr>
          <w:rFonts w:asciiTheme="majorBidi" w:hAnsiTheme="majorBidi" w:cstheme="majorBidi"/>
          <w:sz w:val="20"/>
          <w:szCs w:val="20"/>
        </w:rPr>
        <w:fldChar w:fldCharType="separate"/>
      </w:r>
      <w:r w:rsidR="008A2211">
        <w:rPr>
          <w:rFonts w:asciiTheme="majorBidi" w:hAnsiTheme="majorBidi" w:cstheme="majorBidi"/>
          <w:noProof/>
          <w:sz w:val="20"/>
          <w:szCs w:val="20"/>
        </w:rPr>
        <w:t>[6]</w:t>
      </w:r>
      <w:r w:rsidR="008A2211">
        <w:rPr>
          <w:rFonts w:asciiTheme="majorBidi" w:hAnsiTheme="majorBidi" w:cstheme="majorBidi"/>
          <w:sz w:val="20"/>
          <w:szCs w:val="20"/>
        </w:rPr>
        <w:fldChar w:fldCharType="end"/>
      </w:r>
      <w:r w:rsidRPr="00AC3517">
        <w:rPr>
          <w:rFonts w:asciiTheme="majorBidi" w:hAnsiTheme="majorBidi" w:cstheme="majorBidi"/>
          <w:sz w:val="20"/>
          <w:szCs w:val="20"/>
        </w:rPr>
        <w:t>. One effective way to organize this training is to divide it into stages: accident occurrence, response, and recovery. For instance, the occurrence stage focuses on quick, accurate reporting; the response stage involves using PPE and operating safety devices; and the recovery stage includes actions such as decontamination</w:t>
      </w:r>
      <w:r w:rsidR="008A2211">
        <w:rPr>
          <w:rFonts w:asciiTheme="majorBidi" w:hAnsiTheme="majorBidi" w:cstheme="majorBidi"/>
          <w:sz w:val="20"/>
          <w:szCs w:val="20"/>
        </w:rPr>
        <w:t xml:space="preserve"> </w:t>
      </w:r>
      <w:r w:rsidR="008A2211">
        <w:rPr>
          <w:rFonts w:asciiTheme="majorBidi" w:hAnsiTheme="majorBidi" w:cstheme="majorBidi"/>
          <w:sz w:val="20"/>
          <w:szCs w:val="20"/>
        </w:rPr>
        <w:fldChar w:fldCharType="begin"/>
      </w:r>
      <w:r w:rsidR="008A2211">
        <w:rPr>
          <w:rFonts w:asciiTheme="majorBidi" w:hAnsiTheme="majorBidi" w:cstheme="majorBidi"/>
          <w:sz w:val="20"/>
          <w:szCs w:val="20"/>
        </w:rPr>
        <w:instrText xml:space="preserve"> ADDIN EN.CITE &lt;EndNote&gt;&lt;Cite&gt;&lt;Author&gt;Lee&lt;/Author&gt;&lt;Year&gt;2023&lt;/Year&gt;&lt;RecNum&gt;7&lt;/RecNum&gt;&lt;DisplayText&gt;[6]&lt;/DisplayText&gt;&lt;record&gt;&lt;rec-number&gt;7&lt;/rec-number&gt;&lt;foreign-keys&gt;&lt;key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8A2211">
        <w:rPr>
          <w:rFonts w:asciiTheme="majorBidi" w:hAnsiTheme="majorBidi" w:cstheme="majorBidi"/>
          <w:sz w:val="20"/>
          <w:szCs w:val="20"/>
        </w:rPr>
        <w:fldChar w:fldCharType="separate"/>
      </w:r>
      <w:r w:rsidR="008A2211">
        <w:rPr>
          <w:rFonts w:asciiTheme="majorBidi" w:hAnsiTheme="majorBidi" w:cstheme="majorBidi"/>
          <w:noProof/>
          <w:sz w:val="20"/>
          <w:szCs w:val="20"/>
        </w:rPr>
        <w:t>[6]</w:t>
      </w:r>
      <w:r w:rsidR="008A2211">
        <w:rPr>
          <w:rFonts w:asciiTheme="majorBidi" w:hAnsiTheme="majorBidi" w:cstheme="majorBidi"/>
          <w:sz w:val="20"/>
          <w:szCs w:val="20"/>
        </w:rPr>
        <w:fldChar w:fldCharType="end"/>
      </w:r>
      <w:r w:rsidRPr="00AC3517">
        <w:rPr>
          <w:rFonts w:asciiTheme="majorBidi" w:hAnsiTheme="majorBidi" w:cstheme="majorBidi"/>
          <w:sz w:val="20"/>
          <w:szCs w:val="20"/>
        </w:rPr>
        <w:t xml:space="preserve">. This step-by-step approach helps scenario designers </w:t>
      </w:r>
      <w:r w:rsidR="009A62FA">
        <w:rPr>
          <w:rFonts w:asciiTheme="majorBidi" w:hAnsiTheme="majorBidi" w:cstheme="majorBidi"/>
          <w:sz w:val="20"/>
          <w:szCs w:val="20"/>
        </w:rPr>
        <w:t>determine which safe behaviors to practice, when they are needed, and how early mistakes can lead to more significant</w:t>
      </w:r>
      <w:r w:rsidRPr="00AC3517">
        <w:rPr>
          <w:rFonts w:asciiTheme="majorBidi" w:hAnsiTheme="majorBidi" w:cstheme="majorBidi"/>
          <w:sz w:val="20"/>
          <w:szCs w:val="20"/>
        </w:rPr>
        <w:t xml:space="preserve"> problems.</w:t>
      </w:r>
    </w:p>
    <w:p w14:paraId="1E6F3E1F" w14:textId="16AFC439" w:rsidR="008325E8" w:rsidRDefault="006E327B" w:rsidP="002042E1">
      <w:pPr>
        <w:jc w:val="both"/>
        <w:rPr>
          <w:rFonts w:asciiTheme="majorBidi" w:hAnsiTheme="majorBidi" w:cstheme="majorBidi"/>
          <w:sz w:val="20"/>
          <w:szCs w:val="20"/>
        </w:rPr>
      </w:pPr>
      <w:r>
        <w:rPr>
          <w:rFonts w:asciiTheme="majorBidi" w:hAnsiTheme="majorBidi" w:cstheme="majorBidi"/>
          <w:sz w:val="20"/>
          <w:szCs w:val="20"/>
        </w:rPr>
        <w:t>Near-miss</w:t>
      </w:r>
      <w:r w:rsidR="00AC3517" w:rsidRPr="00AC3517">
        <w:rPr>
          <w:rFonts w:asciiTheme="majorBidi" w:hAnsiTheme="majorBidi" w:cstheme="majorBidi"/>
          <w:sz w:val="20"/>
          <w:szCs w:val="20"/>
        </w:rPr>
        <w:t xml:space="preserve"> management can influence how scenarios are created. Phimister et al. explain that accidents are like near</w:t>
      </w:r>
      <w:r>
        <w:rPr>
          <w:rFonts w:asciiTheme="majorBidi" w:hAnsiTheme="majorBidi" w:cstheme="majorBidi"/>
          <w:sz w:val="20"/>
          <w:szCs w:val="20"/>
        </w:rPr>
        <w:t>-</w:t>
      </w:r>
      <w:r w:rsidR="00AC3517" w:rsidRPr="00AC3517">
        <w:rPr>
          <w:rFonts w:asciiTheme="majorBidi" w:hAnsiTheme="majorBidi" w:cstheme="majorBidi"/>
          <w:sz w:val="20"/>
          <w:szCs w:val="20"/>
        </w:rPr>
        <w:t>misses plus other important events that did not occur but could have caused an accident. This idea helps build scenarios with different decision points</w:t>
      </w:r>
      <w:r w:rsidR="008A2211">
        <w:rPr>
          <w:rFonts w:asciiTheme="majorBidi" w:hAnsiTheme="majorBidi" w:cstheme="majorBidi"/>
          <w:sz w:val="20"/>
          <w:szCs w:val="20"/>
        </w:rPr>
        <w:t xml:space="preserve"> </w:t>
      </w:r>
      <w:r w:rsidR="008A2211">
        <w:rPr>
          <w:rFonts w:asciiTheme="majorBidi" w:hAnsiTheme="majorBidi" w:cstheme="majorBidi"/>
          <w:sz w:val="20"/>
          <w:szCs w:val="20"/>
        </w:rPr>
        <w:fldChar w:fldCharType="begin"/>
      </w:r>
      <w:r w:rsidR="008A2211">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8A2211">
        <w:rPr>
          <w:rFonts w:asciiTheme="majorBidi" w:hAnsiTheme="majorBidi" w:cstheme="majorBidi"/>
          <w:sz w:val="20"/>
          <w:szCs w:val="20"/>
        </w:rPr>
        <w:fldChar w:fldCharType="separate"/>
      </w:r>
      <w:r w:rsidR="008A2211">
        <w:rPr>
          <w:rFonts w:asciiTheme="majorBidi" w:hAnsiTheme="majorBidi" w:cstheme="majorBidi"/>
          <w:noProof/>
          <w:sz w:val="20"/>
          <w:szCs w:val="20"/>
        </w:rPr>
        <w:t>[11]</w:t>
      </w:r>
      <w:r w:rsidR="008A2211">
        <w:rPr>
          <w:rFonts w:asciiTheme="majorBidi" w:hAnsiTheme="majorBidi" w:cstheme="majorBidi"/>
          <w:sz w:val="20"/>
          <w:szCs w:val="20"/>
        </w:rPr>
        <w:fldChar w:fldCharType="end"/>
      </w:r>
      <w:r w:rsidR="00AC3517" w:rsidRPr="00AC3517">
        <w:rPr>
          <w:rFonts w:asciiTheme="majorBidi" w:hAnsiTheme="majorBidi" w:cstheme="majorBidi"/>
          <w:sz w:val="20"/>
          <w:szCs w:val="20"/>
        </w:rPr>
        <w:t xml:space="preserve">. Safety-II-based </w:t>
      </w:r>
      <w:r>
        <w:rPr>
          <w:rFonts w:asciiTheme="majorBidi" w:hAnsiTheme="majorBidi" w:cstheme="majorBidi"/>
          <w:sz w:val="20"/>
          <w:szCs w:val="20"/>
        </w:rPr>
        <w:t>near-miss</w:t>
      </w:r>
      <w:r w:rsidR="00AC3517" w:rsidRPr="00AC3517">
        <w:rPr>
          <w:rFonts w:asciiTheme="majorBidi" w:hAnsiTheme="majorBidi" w:cstheme="majorBidi"/>
          <w:sz w:val="20"/>
          <w:szCs w:val="20"/>
        </w:rPr>
        <w:t xml:space="preserve"> analysis also recommends adding protective factors to scenarios, such as what prevented the situation from worsening and how it was controlled. With this approach, scenarios let trainees practice not just avoiding failure, but also using good responses and safety barriers</w:t>
      </w:r>
      <w:r w:rsidR="008A2211">
        <w:rPr>
          <w:rFonts w:asciiTheme="majorBidi" w:hAnsiTheme="majorBidi" w:cstheme="majorBidi"/>
          <w:sz w:val="20"/>
          <w:szCs w:val="20"/>
        </w:rPr>
        <w:t xml:space="preserve"> </w:t>
      </w:r>
      <w:r w:rsidR="008A2211">
        <w:rPr>
          <w:rFonts w:asciiTheme="majorBidi" w:hAnsiTheme="majorBidi" w:cstheme="majorBidi"/>
          <w:sz w:val="20"/>
          <w:szCs w:val="20"/>
        </w:rPr>
        <w:fldChar w:fldCharType="begin"/>
      </w:r>
      <w:r w:rsidR="008A2211">
        <w:rPr>
          <w:rFonts w:asciiTheme="majorBidi" w:hAnsiTheme="majorBidi" w:cstheme="majorBidi"/>
          <w:sz w:val="20"/>
          <w:szCs w:val="20"/>
        </w:rPr>
        <w:instrText xml:space="preserve"> ADDIN EN.CITE &lt;EndNote&gt;&lt;Cite&gt;&lt;Author&gt;De Leo&lt;/Author&gt;&lt;Year&gt;2023&lt;/Year&gt;&lt;RecNum&gt;5&lt;/RecNum&gt;&lt;DisplayText&gt;[4]&lt;/DisplayText&gt;&lt;record&gt;&lt;rec-number&gt;5&lt;/rec-number&gt;&lt;foreign-keys&gt;&lt;key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8A2211">
        <w:rPr>
          <w:rFonts w:asciiTheme="majorBidi" w:hAnsiTheme="majorBidi" w:cstheme="majorBidi"/>
          <w:sz w:val="20"/>
          <w:szCs w:val="20"/>
        </w:rPr>
        <w:fldChar w:fldCharType="separate"/>
      </w:r>
      <w:r w:rsidR="008A2211">
        <w:rPr>
          <w:rFonts w:asciiTheme="majorBidi" w:hAnsiTheme="majorBidi" w:cstheme="majorBidi"/>
          <w:noProof/>
          <w:sz w:val="20"/>
          <w:szCs w:val="20"/>
        </w:rPr>
        <w:t>[4]</w:t>
      </w:r>
      <w:r w:rsidR="008A2211">
        <w:rPr>
          <w:rFonts w:asciiTheme="majorBidi" w:hAnsiTheme="majorBidi" w:cstheme="majorBidi"/>
          <w:sz w:val="20"/>
          <w:szCs w:val="20"/>
        </w:rPr>
        <w:fldChar w:fldCharType="end"/>
      </w:r>
      <w:r w:rsidR="00AC3517" w:rsidRPr="00AC3517">
        <w:rPr>
          <w:rFonts w:asciiTheme="majorBidi" w:hAnsiTheme="majorBidi" w:cstheme="majorBidi"/>
          <w:sz w:val="20"/>
          <w:szCs w:val="20"/>
        </w:rPr>
        <w:t xml:space="preserve">. By practicing these scenarios regularly, trainees </w:t>
      </w:r>
      <w:r w:rsidR="009A62FA">
        <w:rPr>
          <w:rFonts w:asciiTheme="majorBidi" w:hAnsiTheme="majorBidi" w:cstheme="majorBidi"/>
          <w:sz w:val="20"/>
          <w:szCs w:val="20"/>
        </w:rPr>
        <w:t xml:space="preserve">enhance their skills, make more informed decisions in uncertain situations, and develop the ability to work effectively </w:t>
      </w:r>
      <w:r w:rsidR="00AC3517" w:rsidRPr="00AC3517">
        <w:rPr>
          <w:rFonts w:asciiTheme="majorBidi" w:hAnsiTheme="majorBidi" w:cstheme="majorBidi"/>
          <w:sz w:val="20"/>
          <w:szCs w:val="20"/>
        </w:rPr>
        <w:t>as a team. These abilities are hard to gain from lectures alone</w:t>
      </w:r>
      <w:r w:rsidR="008A2211">
        <w:rPr>
          <w:rFonts w:asciiTheme="majorBidi" w:hAnsiTheme="majorBidi" w:cstheme="majorBidi"/>
          <w:sz w:val="20"/>
          <w:szCs w:val="20"/>
        </w:rPr>
        <w:t xml:space="preserve"> </w:t>
      </w:r>
      <w:r w:rsidR="008A2211">
        <w:rPr>
          <w:rFonts w:asciiTheme="majorBidi" w:hAnsiTheme="majorBidi" w:cstheme="majorBidi"/>
          <w:sz w:val="20"/>
          <w:szCs w:val="20"/>
        </w:rPr>
        <w:fldChar w:fldCharType="begin"/>
      </w:r>
      <w:r w:rsidR="008A2211">
        <w:rPr>
          <w:rFonts w:asciiTheme="majorBidi" w:hAnsiTheme="majorBidi" w:cstheme="majorBidi"/>
          <w:sz w:val="20"/>
          <w:szCs w:val="20"/>
        </w:rPr>
        <w:instrText xml:space="preserve"> ADDIN EN.CITE &lt;EndNote&gt;&lt;Cite&gt;&lt;Author&gt;Scorgie&lt;/Author&gt;&lt;Year&gt;2024&lt;/Year&gt;&lt;RecNum&gt;1&lt;/RecNum&gt;&lt;DisplayText&gt;[1, 6]&lt;/DisplayText&gt;&lt;record&gt;&lt;rec-number&gt;1&lt;/rec-number&gt;&lt;foreign-keys&gt;&lt;key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Cite&gt;&lt;Author&gt;Lee&lt;/Author&gt;&lt;Year&gt;2023&lt;/Year&gt;&lt;RecNum&gt;7&lt;/RecNum&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8A2211">
        <w:rPr>
          <w:rFonts w:asciiTheme="majorBidi" w:hAnsiTheme="majorBidi" w:cstheme="majorBidi"/>
          <w:sz w:val="20"/>
          <w:szCs w:val="20"/>
        </w:rPr>
        <w:fldChar w:fldCharType="separate"/>
      </w:r>
      <w:r w:rsidR="008A2211">
        <w:rPr>
          <w:rFonts w:asciiTheme="majorBidi" w:hAnsiTheme="majorBidi" w:cstheme="majorBidi"/>
          <w:noProof/>
          <w:sz w:val="20"/>
          <w:szCs w:val="20"/>
        </w:rPr>
        <w:t>[1, 6]</w:t>
      </w:r>
      <w:r w:rsidR="008A2211">
        <w:rPr>
          <w:rFonts w:asciiTheme="majorBidi" w:hAnsiTheme="majorBidi" w:cstheme="majorBidi"/>
          <w:sz w:val="20"/>
          <w:szCs w:val="20"/>
        </w:rPr>
        <w:fldChar w:fldCharType="end"/>
      </w:r>
      <w:r w:rsidR="00AC3517" w:rsidRPr="00AC3517">
        <w:rPr>
          <w:rFonts w:asciiTheme="majorBidi" w:hAnsiTheme="majorBidi" w:cstheme="majorBidi"/>
          <w:sz w:val="20"/>
          <w:szCs w:val="20"/>
        </w:rPr>
        <w:t xml:space="preserve">. </w:t>
      </w:r>
    </w:p>
    <w:p w14:paraId="30115002" w14:textId="341B84BD" w:rsidR="005D477D" w:rsidRPr="008209FC" w:rsidRDefault="008209FC" w:rsidP="00802E9E">
      <w:pPr>
        <w:jc w:val="both"/>
        <w:rPr>
          <w:rFonts w:asciiTheme="majorBidi" w:hAnsiTheme="majorBidi" w:cstheme="majorBidi"/>
          <w:sz w:val="20"/>
          <w:szCs w:val="20"/>
        </w:rPr>
      </w:pPr>
      <w:r w:rsidRPr="008209FC">
        <w:rPr>
          <w:rFonts w:asciiTheme="majorBidi" w:hAnsiTheme="majorBidi" w:cstheme="majorBidi"/>
          <w:sz w:val="20"/>
          <w:szCs w:val="20"/>
        </w:rPr>
        <w:t xml:space="preserve">3.3. </w:t>
      </w:r>
      <w:r w:rsidR="005D477D" w:rsidRPr="008209FC">
        <w:rPr>
          <w:rFonts w:asciiTheme="majorBidi" w:hAnsiTheme="majorBidi" w:cstheme="majorBidi"/>
          <w:sz w:val="20"/>
          <w:szCs w:val="20"/>
        </w:rPr>
        <w:t>Rapid feedback as the behavior-change engine</w:t>
      </w:r>
    </w:p>
    <w:p w14:paraId="387F3FAA" w14:textId="1A8954B0" w:rsidR="005D477D" w:rsidRPr="005D477D" w:rsidRDefault="005D477D" w:rsidP="00CF406C">
      <w:pPr>
        <w:jc w:val="both"/>
        <w:rPr>
          <w:rFonts w:asciiTheme="majorBidi" w:hAnsiTheme="majorBidi" w:cstheme="majorBidi"/>
          <w:sz w:val="20"/>
          <w:szCs w:val="20"/>
        </w:rPr>
      </w:pPr>
      <w:r w:rsidRPr="005D477D">
        <w:rPr>
          <w:rFonts w:asciiTheme="majorBidi" w:hAnsiTheme="majorBidi" w:cstheme="majorBidi"/>
          <w:sz w:val="20"/>
          <w:szCs w:val="20"/>
        </w:rPr>
        <w:t>Near</w:t>
      </w:r>
      <w:r w:rsidR="006E327B">
        <w:rPr>
          <w:rFonts w:asciiTheme="majorBidi" w:hAnsiTheme="majorBidi" w:cstheme="majorBidi"/>
          <w:sz w:val="20"/>
          <w:szCs w:val="20"/>
        </w:rPr>
        <w:t>-</w:t>
      </w:r>
      <w:r w:rsidRPr="005D477D">
        <w:rPr>
          <w:rFonts w:asciiTheme="majorBidi" w:hAnsiTheme="majorBidi" w:cstheme="majorBidi"/>
          <w:sz w:val="20"/>
          <w:szCs w:val="20"/>
        </w:rPr>
        <w:t>misses help us learn, and scenarios give us a chance to practice, but it is rapid feedback that really turns practice into lasting behavior change. Behavior-based safety (BBS) uses the “ABC” model: antecedents, behavior, and consequences. This model shows that changing what happens before and after a behavior can affect how often and how well people act</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[8]</w:t>
      </w:r>
      <w:r>
        <w:rPr>
          <w:rFonts w:asciiTheme="majorBidi" w:hAnsiTheme="majorBidi" w:cstheme="majorBidi"/>
          <w:sz w:val="20"/>
          <w:szCs w:val="20"/>
        </w:rPr>
        <w:fldChar w:fldCharType="end"/>
      </w:r>
      <w:r w:rsidRPr="005D477D">
        <w:rPr>
          <w:rFonts w:asciiTheme="majorBidi" w:hAnsiTheme="majorBidi" w:cstheme="majorBidi"/>
          <w:sz w:val="20"/>
          <w:szCs w:val="20"/>
        </w:rPr>
        <w:t xml:space="preserve">. Traditional classroom training often shares information but does not always provide strong or </w:t>
      </w:r>
      <w:r w:rsidRPr="005D477D">
        <w:rPr>
          <w:rFonts w:asciiTheme="majorBidi" w:hAnsiTheme="majorBidi" w:cstheme="majorBidi"/>
          <w:sz w:val="20"/>
          <w:szCs w:val="20"/>
        </w:rPr>
        <w:lastRenderedPageBreak/>
        <w:t>timely consequences. Because of this, safe behaviors may not last in real work situations</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[8]</w:t>
      </w:r>
      <w:r>
        <w:rPr>
          <w:rFonts w:asciiTheme="majorBidi" w:hAnsiTheme="majorBidi" w:cstheme="majorBidi"/>
          <w:sz w:val="20"/>
          <w:szCs w:val="20"/>
        </w:rPr>
        <w:fldChar w:fldCharType="end"/>
      </w:r>
      <w:r w:rsidRPr="005D477D">
        <w:rPr>
          <w:rFonts w:asciiTheme="majorBidi" w:hAnsiTheme="majorBidi" w:cstheme="majorBidi"/>
          <w:sz w:val="20"/>
          <w:szCs w:val="20"/>
        </w:rPr>
        <w:t>. That is why BBS programs focus on observation and feedback that connect actions to immediate results. Research also examines how frequently feedback and observation occur and how they influence outcomes</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&lt;EndNote&gt;&lt;Cite&gt;&lt;Author&gt;Spigener&lt;/Author&gt;&lt;Year&gt;2022&lt;/Year&gt;&lt;RecNum&gt;8&lt;/RecNum&gt;&lt;DisplayText&gt;[7]&lt;/DisplayText&gt;&lt;record&gt;&lt;rec-number&gt;8&lt;/rec-number&gt;&lt;foreign-keys&gt;&lt;key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[7]</w:t>
      </w:r>
      <w:r>
        <w:rPr>
          <w:rFonts w:asciiTheme="majorBidi" w:hAnsiTheme="majorBidi" w:cstheme="majorBidi"/>
          <w:sz w:val="20"/>
          <w:szCs w:val="20"/>
        </w:rPr>
        <w:fldChar w:fldCharType="end"/>
      </w:r>
      <w:r w:rsidRPr="005D477D">
        <w:rPr>
          <w:rFonts w:asciiTheme="majorBidi" w:hAnsiTheme="majorBidi" w:cstheme="majorBidi"/>
          <w:sz w:val="20"/>
          <w:szCs w:val="20"/>
        </w:rPr>
        <w:t xml:space="preserve">. </w:t>
      </w:r>
    </w:p>
    <w:p w14:paraId="5D4B84A9" w14:textId="0B908022" w:rsidR="005D477D" w:rsidRDefault="005D477D" w:rsidP="00802E9E">
      <w:pPr>
        <w:jc w:val="both"/>
        <w:rPr>
          <w:rFonts w:asciiTheme="majorBidi" w:hAnsiTheme="majorBidi" w:cstheme="majorBidi"/>
          <w:sz w:val="20"/>
          <w:szCs w:val="20"/>
        </w:rPr>
      </w:pPr>
      <w:r w:rsidRPr="005D477D">
        <w:rPr>
          <w:rFonts w:asciiTheme="majorBidi" w:hAnsiTheme="majorBidi" w:cstheme="majorBidi"/>
          <w:sz w:val="20"/>
          <w:szCs w:val="20"/>
        </w:rPr>
        <w:t>In antifragility-focused training, feedback should be quick, clear, and directly tied to behavior. This helps trainees notice the gap between what they intended and what they actually did, correct mistakes before they become habits, and build good behaviors</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&lt;EndNote&gt;&lt;Cite&gt;&lt;Author&gt;Spigener&lt;/Author&gt;&lt;Year&gt;2022&lt;/Year&gt;&lt;RecNum&gt;8&lt;/RecNum&gt;&lt;DisplayText&gt;[7, 8]&lt;/DisplayText&gt;&lt;record&gt;&lt;rec-number&gt;8&lt;/rec-number&gt;&lt;foreign-keys&gt;&lt;key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Cite&gt;&lt;Author&gt;Carra&lt;/Author&gt;&lt;Year&gt;2024&lt;/Year&gt;&lt;RecNum&gt;9&lt;/RecNum&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[7, 8]</w:t>
      </w:r>
      <w:r>
        <w:rPr>
          <w:rFonts w:asciiTheme="majorBidi" w:hAnsiTheme="majorBidi" w:cstheme="majorBidi"/>
          <w:sz w:val="20"/>
          <w:szCs w:val="20"/>
        </w:rPr>
        <w:fldChar w:fldCharType="end"/>
      </w:r>
      <w:r w:rsidRPr="005D477D">
        <w:rPr>
          <w:rFonts w:asciiTheme="majorBidi" w:hAnsiTheme="majorBidi" w:cstheme="majorBidi"/>
          <w:sz w:val="20"/>
          <w:szCs w:val="20"/>
        </w:rPr>
        <w:t>. Feedback should not rely too much on blame or punishment, since these can hurt teamwork and the learning environment needed for antifragility</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[8]</w:t>
      </w:r>
      <w:r>
        <w:rPr>
          <w:rFonts w:asciiTheme="majorBidi" w:hAnsiTheme="majorBidi" w:cstheme="majorBidi"/>
          <w:sz w:val="20"/>
          <w:szCs w:val="20"/>
        </w:rPr>
        <w:fldChar w:fldCharType="end"/>
      </w:r>
      <w:r w:rsidRPr="005D477D">
        <w:rPr>
          <w:rFonts w:asciiTheme="majorBidi" w:hAnsiTheme="majorBidi" w:cstheme="majorBidi"/>
          <w:sz w:val="20"/>
          <w:szCs w:val="20"/>
        </w:rPr>
        <w:t xml:space="preserve">. Fast feedback is also important in </w:t>
      </w:r>
      <w:r w:rsidR="00360A28">
        <w:rPr>
          <w:rFonts w:asciiTheme="majorBidi" w:hAnsiTheme="majorBidi" w:cstheme="majorBidi"/>
          <w:sz w:val="20"/>
          <w:szCs w:val="20"/>
        </w:rPr>
        <w:t>near-miss</w:t>
      </w:r>
      <w:r w:rsidRPr="005D477D">
        <w:rPr>
          <w:rFonts w:asciiTheme="majorBidi" w:hAnsiTheme="majorBidi" w:cstheme="majorBidi"/>
          <w:sz w:val="20"/>
          <w:szCs w:val="20"/>
        </w:rPr>
        <w:t xml:space="preserve"> systems. Phimister et al. highlight the need to consider feedback loops between analyzing causes and reporting, the risk of losing key information if investigations are delayed, and the importance of closing the loop by communicating back to those who reported incidents and to others involved</w:t>
      </w:r>
      <w:r>
        <w:rPr>
          <w:rFonts w:asciiTheme="majorBidi" w:hAnsiTheme="majorBidi" w:cstheme="majorBidi"/>
          <w:sz w:val="20"/>
          <w:szCs w:val="20"/>
        </w:rPr>
        <w:t xml:space="preserve"> </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rPr>
        <w:t>[11]</w:t>
      </w:r>
      <w:r>
        <w:rPr>
          <w:rFonts w:asciiTheme="majorBidi" w:hAnsiTheme="majorBidi" w:cstheme="majorBidi"/>
          <w:sz w:val="20"/>
          <w:szCs w:val="20"/>
        </w:rPr>
        <w:fldChar w:fldCharType="end"/>
      </w:r>
      <w:r w:rsidRPr="005D477D">
        <w:rPr>
          <w:rFonts w:asciiTheme="majorBidi" w:hAnsiTheme="majorBidi" w:cstheme="majorBidi"/>
          <w:sz w:val="20"/>
          <w:szCs w:val="20"/>
        </w:rPr>
        <w:t xml:space="preserve">. For these reasons, rapid feedback should occur at multiple levels, including scenario debriefs, on-the-job coaching and observation, and quick responses in </w:t>
      </w:r>
      <w:r w:rsidR="00360A28">
        <w:rPr>
          <w:rFonts w:asciiTheme="majorBidi" w:hAnsiTheme="majorBidi" w:cstheme="majorBidi"/>
          <w:sz w:val="20"/>
          <w:szCs w:val="20"/>
        </w:rPr>
        <w:t>near-miss</w:t>
      </w:r>
      <w:r w:rsidRPr="005D477D">
        <w:rPr>
          <w:rFonts w:asciiTheme="majorBidi" w:hAnsiTheme="majorBidi" w:cstheme="majorBidi"/>
          <w:sz w:val="20"/>
          <w:szCs w:val="20"/>
        </w:rPr>
        <w:t xml:space="preserve"> systems.</w:t>
      </w:r>
    </w:p>
    <w:p w14:paraId="44445ECE" w14:textId="26EAD8D3" w:rsidR="00EF2882" w:rsidRPr="008209FC" w:rsidRDefault="008209FC" w:rsidP="00802E9E">
      <w:pPr>
        <w:jc w:val="both"/>
        <w:rPr>
          <w:rFonts w:asciiTheme="majorBidi" w:hAnsiTheme="majorBidi" w:cstheme="majorBidi"/>
          <w:sz w:val="20"/>
          <w:szCs w:val="20"/>
          <w:rtl/>
        </w:rPr>
      </w:pPr>
      <w:r w:rsidRPr="008209FC">
        <w:rPr>
          <w:rFonts w:asciiTheme="majorBidi" w:hAnsiTheme="majorBidi" w:cstheme="majorBidi"/>
          <w:sz w:val="20"/>
          <w:szCs w:val="20"/>
        </w:rPr>
        <w:t xml:space="preserve">3.4. </w:t>
      </w:r>
      <w:r w:rsidR="00EF2882" w:rsidRPr="008209FC">
        <w:rPr>
          <w:rFonts w:asciiTheme="majorBidi" w:hAnsiTheme="majorBidi" w:cstheme="majorBidi"/>
          <w:sz w:val="20"/>
          <w:szCs w:val="20"/>
        </w:rPr>
        <w:t>An integrated antifragile training cycle</w:t>
      </w:r>
    </w:p>
    <w:p w14:paraId="243E816A" w14:textId="3A8EA663" w:rsidR="00802E9E" w:rsidRDefault="00802E9E" w:rsidP="00802E9E">
      <w:pPr>
        <w:jc w:val="both"/>
        <w:rPr>
          <w:rFonts w:asciiTheme="majorBidi" w:hAnsiTheme="majorBidi" w:cstheme="majorBidi"/>
          <w:sz w:val="20"/>
          <w:szCs w:val="20"/>
        </w:rPr>
      </w:pPr>
      <w:r w:rsidRPr="00802E9E">
        <w:rPr>
          <w:rFonts w:asciiTheme="majorBidi" w:hAnsiTheme="majorBidi" w:cstheme="majorBidi"/>
          <w:sz w:val="20"/>
          <w:szCs w:val="20"/>
        </w:rPr>
        <w:t>To begin an antifragile training cycle, collect and review near</w:t>
      </w:r>
      <w:r w:rsidR="00360A28">
        <w:rPr>
          <w:rFonts w:asciiTheme="majorBidi" w:hAnsiTheme="majorBidi" w:cstheme="majorBidi"/>
          <w:sz w:val="20"/>
          <w:szCs w:val="20"/>
        </w:rPr>
        <w:t>-</w:t>
      </w:r>
      <w:r w:rsidRPr="00802E9E">
        <w:rPr>
          <w:rFonts w:asciiTheme="majorBidi" w:hAnsiTheme="majorBidi" w:cstheme="majorBidi"/>
          <w:sz w:val="20"/>
          <w:szCs w:val="20"/>
        </w:rPr>
        <w:t>misses. Look at what caused them and what stopped them from becoming incidents. Then organize what you learn into scenario libraries with clear steps and behavior goals. Use simulations or hands-on activities so people can safely practice different situations. After each session, give quick and helpful feedback through debriefing and coaching that focuses on what people did. Regularly update scenarios, procedures, and safety measures as you get new near-miss data</w:t>
      </w:r>
      <w:r>
        <w:rPr>
          <w:rFonts w:asciiTheme="majorBidi" w:hAnsiTheme="majorBidi" w:cstheme="majorBidi"/>
          <w:sz w:val="20"/>
          <w:szCs w:val="20"/>
        </w:rPr>
        <w:t xml:space="preserve"> </w:t>
      </w:r>
      <w:r>
        <w:rPr>
          <w:rFonts w:asciiTheme="majorBidi" w:hAnsiTheme="majorBidi" w:cstheme="majorBidi"/>
          <w:sz w:val="20"/>
          <w:szCs w:val="20"/>
        </w:rPr>
        <w:fldChar w:fldCharType="begin">
          <w:fldData xml:space="preserve">PEVuZE5vdGU+PENpdGU+PEF1dGhvcj5TY29yZ2llPC9BdXRob3I+PFllYXI+MjAyNDwvWWVhcj48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=
</w:fldData>
        </w:fldChar>
      </w:r>
      <w:r>
        <w:rPr>
          <w:rFonts w:asciiTheme="majorBidi" w:hAnsiTheme="majorBidi" w:cstheme="majorBidi"/>
          <w:sz w:val="20"/>
          <w:szCs w:val="20"/>
        </w:rPr>
        <w:instrText xml:space="preserve"> ADDIN EN.CITE </w:instrText>
      </w:r>
      <w:r>
        <w:rPr>
          <w:rFonts w:asciiTheme="majorBidi" w:hAnsiTheme="majorBidi" w:cstheme="majorBidi"/>
          <w:sz w:val="20"/>
          <w:szCs w:val="20"/>
        </w:rPr>
        <w:fldChar w:fldCharType="begin">
          <w:fldData xml:space="preserve">PEVuZE5vdGU+PENpdGU+PEF1dGhvcj5TY29yZ2llPC9BdXRob3I+PFllYXI+MjAyNDwvWWVhcj48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=
</w:fldData>
        </w:fldChar>
      </w:r>
      <w:r>
        <w:rPr>
          <w:rFonts w:asciiTheme="majorBidi" w:hAnsiTheme="majorBidi" w:cstheme="majorBidi"/>
          <w:sz w:val="20"/>
          <w:szCs w:val="20"/>
        </w:rPr>
        <w:instrText xml:space="preserve"> ADDIN EN.CITE.DATA </w:instrText>
      </w:r>
      <w:r>
        <w:rPr>
          <w:rFonts w:asciiTheme="majorBidi" w:hAnsiTheme="majorBidi" w:cstheme="majorBidi"/>
          <w:sz w:val="20"/>
          <w:szCs w:val="20"/>
        </w:rPr>
      </w:r>
      <w:r>
        <w:rPr>
          <w:rFonts w:asciiTheme="majorBidi" w:hAnsiTheme="majorBidi" w:cstheme="majorBidi"/>
          <w:sz w:val="20"/>
          <w:szCs w:val="20"/>
        </w:rPr>
        <w:fldChar w:fldCharType="end"/>
      </w:r>
      <w:r>
        <w:rPr>
          <w:rFonts w:asciiTheme="majorBidi" w:hAnsiTheme="majorBidi" w:cstheme="majorBidi"/>
          <w:sz w:val="20"/>
          <w:szCs w:val="20"/>
        </w:rPr>
      </w:r>
      <w:r>
        <w:rPr>
          <w:rFonts w:asciiTheme="majorBidi" w:hAnsiTheme="majorBidi" w:cstheme="majorBidi"/>
          <w:sz w:val="20"/>
          <w:szCs w:val="20"/>
        </w:rPr>
        <w:fldChar w:fldCharType="separate"/>
      </w:r>
      <w:r>
        <w:rPr>
          <w:rFonts w:asciiTheme="majorBidi" w:hAnsiTheme="majorBidi" w:cstheme="majorBidi"/>
          <w:noProof/>
          <w:sz w:val="20"/>
          <w:szCs w:val="20"/>
        </w:rPr>
        <w:t>[1, 4, 6, 8, 10, 11]</w:t>
      </w:r>
      <w:r>
        <w:rPr>
          <w:rFonts w:asciiTheme="majorBidi" w:hAnsiTheme="majorBidi" w:cstheme="majorBidi"/>
          <w:sz w:val="20"/>
          <w:szCs w:val="20"/>
        </w:rPr>
        <w:fldChar w:fldCharType="end"/>
      </w:r>
      <w:r w:rsidRPr="00802E9E">
        <w:rPr>
          <w:rFonts w:asciiTheme="majorBidi" w:hAnsiTheme="majorBidi" w:cstheme="majorBidi"/>
          <w:sz w:val="20"/>
          <w:szCs w:val="20"/>
        </w:rPr>
        <w:t>. Over time, this approach helps turn everyday changes and small problems into opportunities to build stronger safety habits, make better decisions, and create more reliable safety barriers. This is the main idea behind antifragility</w:t>
      </w:r>
      <w:r>
        <w:rPr>
          <w:rFonts w:asciiTheme="majorBidi" w:hAnsiTheme="majorBidi" w:cstheme="majorBidi"/>
          <w:sz w:val="20"/>
          <w:szCs w:val="20"/>
        </w:rPr>
        <w:t xml:space="preserve"> </w:t>
      </w:r>
      <w:r>
        <w:rPr>
          <w:rFonts w:asciiTheme="majorBidi" w:hAnsiTheme="majorBidi" w:cstheme="majorBidi"/>
          <w:sz w:val="20"/>
          <w:szCs w:val="20"/>
        </w:rPr>
        <w:fldChar w:fldCharType="begin"/>
      </w:r>
      <w:r w:rsidR="00124773">
        <w:rPr>
          <w:rFonts w:asciiTheme="majorBidi" w:hAnsiTheme="majorBidi" w:cstheme="majorBidi"/>
          <w:sz w:val="20"/>
          <w:szCs w:val="20"/>
        </w:rPr>
        <w:instrText xml:space="preserve"> ADDIN EN.CITE &lt;EndNote&gt;&lt;Cite&gt;&lt;Author&gt;Aven&lt;/Author&gt;&lt;Year&gt;2015&lt;/Year&gt;&lt;RecNum&gt;11&lt;/RecNum&gt;&lt;DisplayText&gt;[9, 10]&lt;/DisplayText&gt;&lt;record&gt;&lt;rec-number&gt;11&lt;/rec-number&gt;&lt;foreign-keys&gt;&lt;key app="EN" db-id="dz0tx9r22vexwlee5zcv2d92r92sp99dxwfv" timestamp="1766922513"&gt;11&lt;/key&gt;&lt;/foreign-keys&gt;&lt;ref-type name="Journal Article"&gt;17&lt;/ref-type&gt;&lt;contributors&gt;&lt;authors&gt;&lt;author&gt;Aven, Terje&lt;/author&gt;&lt;/authors&gt;&lt;/contributors&gt;&lt;titles&gt;&lt;title&gt;The concept of antifragility and its implications for the practice of risk analysis&lt;/title&gt;&lt;secondary-title&gt;Risk analysis&lt;/secondary-title&gt;&lt;/titles&gt;&lt;periodical&gt;&lt;full-title&gt;Risk analysis&lt;/full-title&gt;&lt;/periodical&gt;&lt;pages&gt;476-483&lt;/pages&gt;&lt;volume&gt;35&lt;/volume&gt;&lt;number&gt;3&lt;/number&gt;&lt;dates&gt;&lt;year&gt;2015&lt;/year&gt;&lt;/dates&gt;&lt;isbn&gt;0272-4332&lt;/isbn&gt;&lt;urls&gt;&lt;/urls&gt;&lt;/record&gt;&lt;/Cite&gt;&lt;Cite&gt;&lt;Author&gt;Martinetti&lt;/Author&gt;&lt;Year&gt;2019&lt;/Year&gt;&lt;RecNum&gt;4&lt;/RecNum&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EndNote&gt;</w:instrText>
      </w:r>
      <w:r>
        <w:rPr>
          <w:rFonts w:asciiTheme="majorBidi" w:hAnsiTheme="majorBidi" w:cstheme="majorBidi"/>
          <w:sz w:val="20"/>
          <w:szCs w:val="20"/>
        </w:rPr>
        <w:fldChar w:fldCharType="separate"/>
      </w:r>
      <w:r w:rsidR="00124773">
        <w:rPr>
          <w:rFonts w:asciiTheme="majorBidi" w:hAnsiTheme="majorBidi" w:cstheme="majorBidi"/>
          <w:noProof/>
          <w:sz w:val="20"/>
          <w:szCs w:val="20"/>
        </w:rPr>
        <w:t>[9, 10]</w:t>
      </w:r>
      <w:r>
        <w:rPr>
          <w:rFonts w:asciiTheme="majorBidi" w:hAnsiTheme="majorBidi" w:cstheme="majorBidi"/>
          <w:sz w:val="20"/>
          <w:szCs w:val="20"/>
        </w:rPr>
        <w:fldChar w:fldCharType="end"/>
      </w:r>
      <w:r w:rsidRPr="00802E9E">
        <w:rPr>
          <w:rFonts w:asciiTheme="majorBidi" w:hAnsiTheme="majorBidi" w:cstheme="majorBidi"/>
          <w:sz w:val="20"/>
          <w:szCs w:val="20"/>
        </w:rPr>
        <w:t xml:space="preserve">. </w:t>
      </w:r>
      <w:r w:rsidR="00F9585E" w:rsidRPr="00F9585E">
        <w:rPr>
          <w:rFonts w:asciiTheme="majorBidi" w:hAnsiTheme="majorBidi" w:cstheme="majorBidi"/>
          <w:sz w:val="20"/>
          <w:szCs w:val="20"/>
        </w:rPr>
        <w:t xml:space="preserve">To operationalize antifragility in safety training, we propose an iterative design cycle that links </w:t>
      </w:r>
      <w:r w:rsidR="00360A28">
        <w:rPr>
          <w:rFonts w:asciiTheme="majorBidi" w:hAnsiTheme="majorBidi" w:cstheme="majorBidi"/>
          <w:sz w:val="20"/>
          <w:szCs w:val="20"/>
        </w:rPr>
        <w:t>near-miss</w:t>
      </w:r>
      <w:r w:rsidR="00F9585E" w:rsidRPr="00F9585E">
        <w:rPr>
          <w:rFonts w:asciiTheme="majorBidi" w:hAnsiTheme="majorBidi" w:cstheme="majorBidi"/>
          <w:sz w:val="20"/>
          <w:szCs w:val="20"/>
        </w:rPr>
        <w:t xml:space="preserve"> learning, scenario engineering, and rapid feedback (Figure 1)</w:t>
      </w:r>
      <w:r w:rsidR="00F9585E">
        <w:rPr>
          <w:rFonts w:asciiTheme="majorBidi" w:hAnsiTheme="majorBidi" w:cstheme="majorBidi"/>
          <w:sz w:val="20"/>
          <w:szCs w:val="20"/>
        </w:rPr>
        <w:t>.</w:t>
      </w:r>
    </w:p>
    <w:p w14:paraId="0D6EF132" w14:textId="77777777" w:rsidR="005A4245" w:rsidRDefault="005A4245" w:rsidP="00802E9E">
      <w:pPr>
        <w:jc w:val="both"/>
        <w:rPr>
          <w:rFonts w:asciiTheme="majorBidi" w:hAnsiTheme="majorBidi" w:cstheme="majorBidi"/>
          <w:sz w:val="20"/>
          <w:szCs w:val="20"/>
        </w:rPr>
      </w:pPr>
    </w:p>
    <w:p w14:paraId="00BDACA0" w14:textId="77777777" w:rsidR="00D72D58" w:rsidRDefault="0085243F" w:rsidP="00D72D58">
      <w:pPr>
        <w:keepNext/>
        <w:jc w:val="center"/>
      </w:pPr>
      <w:r>
        <w:rPr>
          <w:rFonts w:asciiTheme="majorBidi" w:hAnsiTheme="majorBidi" w:cstheme="majorBidi"/>
          <w:noProof/>
          <w:sz w:val="20"/>
          <w:szCs w:val="20"/>
        </w:rPr>
        <w:drawing>
          <wp:inline distT="0" distB="0" distL="0" distR="0" wp14:anchorId="54A83AC9" wp14:editId="5B91D17B">
            <wp:extent cx="4657725" cy="2505075"/>
            <wp:effectExtent l="0" t="38100" r="0" b="47625"/>
            <wp:docPr id="171492574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ED509E8" w14:textId="2A0344D5" w:rsidR="0010392B" w:rsidRPr="00E13F1D" w:rsidRDefault="00D72D58" w:rsidP="003C498E">
      <w:pPr>
        <w:pStyle w:val="Caption"/>
        <w:jc w:val="center"/>
        <w:rPr>
          <w:rFonts w:ascii="Times New Roman" w:hAnsi="Times New Roman" w:cs="Times New Roman"/>
          <w:b/>
          <w:bCs/>
          <w:i w:val="0"/>
          <w:iCs w:val="0"/>
          <w:color w:val="auto"/>
          <w:rtl/>
        </w:rPr>
      </w:pPr>
      <w:r w:rsidRPr="00E13F1D">
        <w:rPr>
          <w:rFonts w:ascii="Times New Roman" w:hAnsi="Times New Roman" w:cs="Times New Roman"/>
          <w:b/>
          <w:bCs/>
          <w:i w:val="0"/>
          <w:iCs w:val="0"/>
          <w:color w:val="auto"/>
        </w:rPr>
        <w:t xml:space="preserve">Figure </w:t>
      </w:r>
      <w:r w:rsidR="00E13F1D" w:rsidRPr="00E13F1D">
        <w:rPr>
          <w:rFonts w:ascii="Times New Roman" w:hAnsi="Times New Roman" w:cs="Times New Roman"/>
          <w:b/>
          <w:bCs/>
          <w:i w:val="0"/>
          <w:iCs w:val="0"/>
          <w:color w:val="auto"/>
        </w:rPr>
        <w:t>(</w:t>
      </w:r>
      <w:r w:rsidRPr="00E13F1D">
        <w:rPr>
          <w:rFonts w:ascii="Times New Roman" w:hAnsi="Times New Roman" w:cs="Times New Roman"/>
          <w:b/>
          <w:bCs/>
          <w:i w:val="0"/>
          <w:iCs w:val="0"/>
          <w:color w:val="auto"/>
        </w:rPr>
        <w:fldChar w:fldCharType="begin"/>
      </w:r>
      <w:r w:rsidRPr="00E13F1D">
        <w:rPr>
          <w:rFonts w:ascii="Times New Roman" w:hAnsi="Times New Roman" w:cs="Times New Roman"/>
          <w:b/>
          <w:bCs/>
          <w:i w:val="0"/>
          <w:iCs w:val="0"/>
          <w:color w:val="auto"/>
        </w:rPr>
        <w:instrText xml:space="preserve"> SEQ Figure \* ARABIC </w:instrText>
      </w:r>
      <w:r w:rsidRPr="00E13F1D">
        <w:rPr>
          <w:rFonts w:ascii="Times New Roman" w:hAnsi="Times New Roman" w:cs="Times New Roman"/>
          <w:b/>
          <w:bCs/>
          <w:i w:val="0"/>
          <w:iCs w:val="0"/>
          <w:color w:val="auto"/>
        </w:rPr>
        <w:fldChar w:fldCharType="separate"/>
      </w:r>
      <w:r w:rsidRPr="00E13F1D">
        <w:rPr>
          <w:rFonts w:ascii="Times New Roman" w:hAnsi="Times New Roman" w:cs="Times New Roman"/>
          <w:b/>
          <w:bCs/>
          <w:i w:val="0"/>
          <w:iCs w:val="0"/>
          <w:noProof/>
          <w:color w:val="auto"/>
        </w:rPr>
        <w:t>1</w:t>
      </w:r>
      <w:r w:rsidRPr="00E13F1D">
        <w:rPr>
          <w:rFonts w:ascii="Times New Roman" w:hAnsi="Times New Roman" w:cs="Times New Roman"/>
          <w:b/>
          <w:bCs/>
          <w:i w:val="0"/>
          <w:iCs w:val="0"/>
          <w:color w:val="auto"/>
        </w:rPr>
        <w:fldChar w:fldCharType="end"/>
      </w:r>
      <w:r w:rsidR="00E13F1D" w:rsidRPr="00E13F1D">
        <w:rPr>
          <w:rFonts w:ascii="Times New Roman" w:hAnsi="Times New Roman" w:cs="Times New Roman"/>
          <w:b/>
          <w:bCs/>
          <w:i w:val="0"/>
          <w:iCs w:val="0"/>
          <w:color w:val="auto"/>
        </w:rPr>
        <w:t>)</w:t>
      </w:r>
      <w:r w:rsidRPr="00E13F1D">
        <w:rPr>
          <w:rFonts w:ascii="Times New Roman" w:hAnsi="Times New Roman" w:cs="Times New Roman"/>
          <w:b/>
          <w:bCs/>
          <w:i w:val="0"/>
          <w:iCs w:val="0"/>
          <w:color w:val="auto"/>
        </w:rPr>
        <w:t xml:space="preserve"> Antifragile safety training cycle: converting </w:t>
      </w:r>
      <w:r w:rsidR="00360A28" w:rsidRPr="00E13F1D">
        <w:rPr>
          <w:rFonts w:ascii="Times New Roman" w:hAnsi="Times New Roman" w:cs="Times New Roman"/>
          <w:b/>
          <w:bCs/>
          <w:i w:val="0"/>
          <w:iCs w:val="0"/>
          <w:color w:val="auto"/>
        </w:rPr>
        <w:t>near-miss</w:t>
      </w:r>
      <w:r w:rsidRPr="00E13F1D">
        <w:rPr>
          <w:rFonts w:ascii="Times New Roman" w:hAnsi="Times New Roman" w:cs="Times New Roman"/>
          <w:b/>
          <w:bCs/>
          <w:i w:val="0"/>
          <w:iCs w:val="0"/>
          <w:color w:val="auto"/>
        </w:rPr>
        <w:t xml:space="preserve"> weak signals into scenario-based practice and rapid feedback loops to strengthen observable safe behaviors over time.</w:t>
      </w:r>
    </w:p>
    <w:p w14:paraId="00829704" w14:textId="77777777" w:rsidR="003C498E" w:rsidRPr="003C498E" w:rsidRDefault="003C498E" w:rsidP="003C498E"/>
    <w:p w14:paraId="0564ED2F" w14:textId="77777777" w:rsidR="00F048E8" w:rsidRDefault="00F048E8" w:rsidP="0010392B">
      <w:pPr>
        <w:jc w:val="both"/>
        <w:rPr>
          <w:rFonts w:ascii="Times New Roman" w:hAnsi="Times New Roman" w:cs="Times New Roman"/>
          <w:sz w:val="20"/>
          <w:szCs w:val="20"/>
        </w:rPr>
      </w:pPr>
    </w:p>
    <w:p w14:paraId="4432809D" w14:textId="34719B70" w:rsidR="00E204C6" w:rsidRPr="009C13E8" w:rsidRDefault="0010392B" w:rsidP="0010392B">
      <w:pPr>
        <w:jc w:val="both"/>
        <w:rPr>
          <w:rFonts w:ascii="Times New Roman" w:hAnsi="Times New Roman" w:cs="Times New Roman"/>
          <w:sz w:val="20"/>
          <w:szCs w:val="20"/>
        </w:rPr>
      </w:pPr>
      <w:r w:rsidRPr="009C13E8">
        <w:rPr>
          <w:rFonts w:ascii="Times New Roman" w:hAnsi="Times New Roman" w:cs="Times New Roman"/>
          <w:sz w:val="20"/>
          <w:szCs w:val="20"/>
        </w:rPr>
        <w:lastRenderedPageBreak/>
        <w:t>This study, based on the integration of Safety-II principles and the concept of antifragility, proposes a dynamic training framework tailored to high-hazard process industries (HHPI</w:t>
      </w:r>
      <w:r w:rsidR="00117EF1">
        <w:rPr>
          <w:rFonts w:ascii="Times New Roman" w:hAnsi="Times New Roman" w:cs="Times New Roman"/>
          <w:sz w:val="20"/>
          <w:szCs w:val="20"/>
        </w:rPr>
        <w:t>s</w:t>
      </w:r>
      <w:r w:rsidRPr="009C13E8">
        <w:rPr>
          <w:rFonts w:ascii="Times New Roman" w:hAnsi="Times New Roman" w:cs="Times New Roman"/>
          <w:sz w:val="20"/>
          <w:szCs w:val="20"/>
        </w:rPr>
        <w:t>). Unlike traditional training models that aim for static adaptation, the proposed framework is designed to transform operational noise (specifically near</w:t>
      </w:r>
      <w:r w:rsidR="00360A28">
        <w:rPr>
          <w:rFonts w:ascii="Times New Roman" w:hAnsi="Times New Roman" w:cs="Times New Roman"/>
          <w:sz w:val="20"/>
          <w:szCs w:val="20"/>
        </w:rPr>
        <w:t>-</w:t>
      </w:r>
      <w:r w:rsidRPr="009C13E8">
        <w:rPr>
          <w:rFonts w:ascii="Times New Roman" w:hAnsi="Times New Roman" w:cs="Times New Roman"/>
          <w:sz w:val="20"/>
          <w:szCs w:val="20"/>
        </w:rPr>
        <w:t xml:space="preserve">misses) into learning signals that reinforce operator competence under pressure. The framework consists of three interconnected subsystems: (1) </w:t>
      </w:r>
      <w:r w:rsidR="00360A28">
        <w:rPr>
          <w:rFonts w:ascii="Times New Roman" w:hAnsi="Times New Roman" w:cs="Times New Roman"/>
          <w:sz w:val="20"/>
          <w:szCs w:val="20"/>
        </w:rPr>
        <w:t>Near-miss</w:t>
      </w:r>
      <w:r w:rsidRPr="009C13E8">
        <w:rPr>
          <w:rFonts w:ascii="Times New Roman" w:hAnsi="Times New Roman" w:cs="Times New Roman"/>
          <w:sz w:val="20"/>
          <w:szCs w:val="20"/>
        </w:rPr>
        <w:t xml:space="preserve"> learning (input),</w:t>
      </w:r>
      <w:r w:rsidR="009C13E8">
        <w:rPr>
          <w:rFonts w:ascii="Times New Roman" w:hAnsi="Times New Roman" w:cs="Times New Roman"/>
          <w:sz w:val="20"/>
          <w:szCs w:val="20"/>
        </w:rPr>
        <w:t xml:space="preserve"> </w:t>
      </w:r>
      <w:r w:rsidRPr="009C13E8">
        <w:rPr>
          <w:rFonts w:ascii="Times New Roman" w:hAnsi="Times New Roman" w:cs="Times New Roman"/>
          <w:sz w:val="20"/>
          <w:szCs w:val="20"/>
        </w:rPr>
        <w:t>(2) Scenario engineering (process), and</w:t>
      </w:r>
      <w:r w:rsidR="009C13E8">
        <w:rPr>
          <w:rFonts w:ascii="Times New Roman" w:hAnsi="Times New Roman" w:cs="Times New Roman"/>
          <w:sz w:val="20"/>
          <w:szCs w:val="20"/>
        </w:rPr>
        <w:t xml:space="preserve"> </w:t>
      </w:r>
      <w:r w:rsidRPr="009C13E8">
        <w:rPr>
          <w:rFonts w:ascii="Times New Roman" w:hAnsi="Times New Roman" w:cs="Times New Roman"/>
          <w:sz w:val="20"/>
          <w:szCs w:val="20"/>
        </w:rPr>
        <w:t>(3)</w:t>
      </w:r>
      <w:r w:rsidR="009C13E8">
        <w:rPr>
          <w:rFonts w:ascii="Times New Roman" w:hAnsi="Times New Roman" w:cs="Times New Roman"/>
          <w:sz w:val="20"/>
          <w:szCs w:val="20"/>
        </w:rPr>
        <w:t xml:space="preserve"> </w:t>
      </w:r>
      <w:r w:rsidRPr="009C13E8">
        <w:rPr>
          <w:rFonts w:ascii="Times New Roman" w:hAnsi="Times New Roman" w:cs="Times New Roman"/>
          <w:sz w:val="20"/>
          <w:szCs w:val="20"/>
        </w:rPr>
        <w:t>Rapid feedback (reinforcement).</w:t>
      </w:r>
    </w:p>
    <w:p w14:paraId="64E12354" w14:textId="37343E5C" w:rsidR="0010392B" w:rsidRPr="009C13E8" w:rsidRDefault="0010392B" w:rsidP="0010392B">
      <w:pPr>
        <w:jc w:val="both"/>
        <w:rPr>
          <w:rFonts w:ascii="Times New Roman" w:hAnsi="Times New Roman" w:cs="Times New Roman"/>
          <w:sz w:val="20"/>
          <w:szCs w:val="20"/>
        </w:rPr>
      </w:pPr>
      <w:r w:rsidRPr="009C13E8">
        <w:rPr>
          <w:rFonts w:ascii="Times New Roman" w:hAnsi="Times New Roman" w:cs="Times New Roman"/>
          <w:sz w:val="20"/>
          <w:szCs w:val="20"/>
        </w:rPr>
        <w:t>The operational flow of the framework is illustrated in Figure 1, and the factors that determine its successful implementation are detailed in Table 2.</w:t>
      </w:r>
    </w:p>
    <w:p w14:paraId="1FF49A5D" w14:textId="000FF91B" w:rsidR="004B6CD1" w:rsidRPr="008209FC" w:rsidRDefault="008209FC" w:rsidP="004B6CD1">
      <w:pPr>
        <w:jc w:val="both"/>
        <w:rPr>
          <w:rFonts w:ascii="Times New Roman" w:hAnsi="Times New Roman" w:cs="Times New Roman"/>
          <w:sz w:val="20"/>
          <w:szCs w:val="20"/>
        </w:rPr>
      </w:pPr>
      <w:r w:rsidRPr="008209FC">
        <w:rPr>
          <w:rFonts w:ascii="Times New Roman" w:hAnsi="Times New Roman" w:cs="Times New Roman"/>
          <w:sz w:val="20"/>
          <w:szCs w:val="20"/>
        </w:rPr>
        <w:t xml:space="preserve">3.5. </w:t>
      </w:r>
      <w:r w:rsidR="004B6CD1" w:rsidRPr="008209FC">
        <w:rPr>
          <w:rFonts w:ascii="Times New Roman" w:hAnsi="Times New Roman" w:cs="Times New Roman"/>
          <w:sz w:val="20"/>
          <w:szCs w:val="20"/>
        </w:rPr>
        <w:t>Inputs: Enabling Factors for Weak Signal Extraction</w:t>
      </w:r>
    </w:p>
    <w:p w14:paraId="5BFC5ABF" w14:textId="707F92FC" w:rsidR="004B6CD1" w:rsidRPr="009C13E8" w:rsidRDefault="004B6CD1" w:rsidP="004B6CD1">
      <w:pPr>
        <w:jc w:val="both"/>
        <w:rPr>
          <w:rFonts w:ascii="Times New Roman" w:hAnsi="Times New Roman" w:cs="Times New Roman"/>
          <w:sz w:val="20"/>
          <w:szCs w:val="20"/>
        </w:rPr>
      </w:pPr>
      <w:r w:rsidRPr="009C13E8">
        <w:rPr>
          <w:rFonts w:ascii="Times New Roman" w:hAnsi="Times New Roman" w:cs="Times New Roman"/>
          <w:sz w:val="20"/>
          <w:szCs w:val="20"/>
        </w:rPr>
        <w:t>The foundation of antifragile training lies in the continuous extraction of "weak signals" from the operational environment. Near</w:t>
      </w:r>
      <w:r w:rsidR="00360A28">
        <w:rPr>
          <w:rFonts w:ascii="Times New Roman" w:hAnsi="Times New Roman" w:cs="Times New Roman"/>
          <w:sz w:val="20"/>
          <w:szCs w:val="20"/>
        </w:rPr>
        <w:t>-</w:t>
      </w:r>
      <w:r w:rsidRPr="009C13E8">
        <w:rPr>
          <w:rFonts w:ascii="Times New Roman" w:hAnsi="Times New Roman" w:cs="Times New Roman"/>
          <w:sz w:val="20"/>
          <w:szCs w:val="20"/>
        </w:rPr>
        <w:t xml:space="preserve">misses serve as the primary fuel for this system </w:t>
      </w:r>
      <w:r w:rsidR="00CC0962">
        <w:rPr>
          <w:rFonts w:ascii="Times New Roman" w:hAnsi="Times New Roman" w:cs="Times New Roman"/>
          <w:sz w:val="20"/>
          <w:szCs w:val="20"/>
        </w:rPr>
        <w:fldChar w:fldCharType="begin"/>
      </w:r>
      <w:r w:rsidR="00CC0962">
        <w:rPr>
          <w:rFonts w:ascii="Times New Roman" w:hAnsi="Times New Roman" w:cs="Times New Roman"/>
          <w:sz w:val="20"/>
          <w:szCs w:val="20"/>
        </w:rPr>
        <w:instrText xml:space="preserve"> ADDIN EN.CITE &lt;EndNote&gt;&lt;Cite&gt;&lt;Author&gt;Gnoni&lt;/Author&gt;&lt;Year&gt;2022&lt;/Year&gt;&lt;RecNum&gt;6&lt;/RecNum&gt;&lt;DisplayText&gt;[5, 11]&lt;/DisplayText&gt;&lt;record&gt;&lt;rec-number&gt;6&lt;/rec-number&gt;&lt;foreign-keys&gt;&lt;key app="EN" db-id="dz0tx9r22vexwlee5zcv2d92r92sp99dxwfv" timestamp="1766498252"&gt;6&lt;/key&gt;&lt;/foreign-keys&gt;&lt;ref-type name="Journal Article"&gt;17&lt;/ref-type&gt;&lt;contributors&gt;&lt;authors&gt;&lt;author&gt;Gnoni, Maria Grazia&lt;/author&gt;&lt;author&gt;Tornese, Fabiana&lt;/author&gt;&lt;author&gt;Guglielmi, A&lt;/author&gt;&lt;author&gt;Pellicci, M&lt;/author&gt;&lt;author&gt;Campo, G&lt;/author&gt;&lt;author&gt;De Merich, D&lt;/author&gt;&lt;/authors&gt;&lt;/contributors&gt;&lt;titles&gt;&lt;title&gt;Near miss management systems in the industrial sector: A literature review&lt;/title&gt;&lt;secondary-title&gt;Safety science&lt;/secondary-title&gt;&lt;/titles&gt;&lt;periodical&gt;&lt;full-title&gt;Safety science&lt;/full-title&gt;&lt;/periodical&gt;&lt;pages&gt;105704&lt;/pages&gt;&lt;volume&gt;150&lt;/volume&gt;&lt;dates&gt;&lt;year&gt;2022&lt;/year&gt;&lt;/dates&gt;&lt;isbn&gt;0925-7535&lt;/isbn&gt;&lt;urls&gt;&lt;/urls&gt;&lt;/record&gt;&lt;/Cite&gt;&lt;Cite&gt;&lt;Author&gt;Phimister&lt;/Author&gt;&lt;Year&gt;2003&lt;/Year&gt;&lt;RecNum&gt;12&lt;/RecNum&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CC0962">
        <w:rPr>
          <w:rFonts w:ascii="Times New Roman" w:hAnsi="Times New Roman" w:cs="Times New Roman"/>
          <w:sz w:val="20"/>
          <w:szCs w:val="20"/>
        </w:rPr>
        <w:fldChar w:fldCharType="separate"/>
      </w:r>
      <w:r w:rsidR="00CC0962">
        <w:rPr>
          <w:rFonts w:ascii="Times New Roman" w:hAnsi="Times New Roman" w:cs="Times New Roman"/>
          <w:noProof/>
          <w:sz w:val="20"/>
          <w:szCs w:val="20"/>
        </w:rPr>
        <w:t>[5, 11]</w:t>
      </w:r>
      <w:r w:rsidR="00CC0962">
        <w:rPr>
          <w:rFonts w:ascii="Times New Roman" w:hAnsi="Times New Roman" w:cs="Times New Roman"/>
          <w:sz w:val="20"/>
          <w:szCs w:val="20"/>
        </w:rPr>
        <w:fldChar w:fldCharType="end"/>
      </w:r>
      <w:r w:rsidRPr="009C13E8">
        <w:rPr>
          <w:rFonts w:ascii="Times New Roman" w:hAnsi="Times New Roman" w:cs="Times New Roman"/>
          <w:sz w:val="20"/>
          <w:szCs w:val="20"/>
        </w:rPr>
        <w:t>. However, the mere existence of a reporting system is insufficient.</w:t>
      </w:r>
    </w:p>
    <w:p w14:paraId="7EBFE574" w14:textId="65CE0C63" w:rsidR="004B6CD1" w:rsidRPr="009C13E8" w:rsidRDefault="004B6CD1" w:rsidP="004B6CD1">
      <w:pPr>
        <w:pStyle w:val="ListParagraph"/>
        <w:numPr>
          <w:ilvl w:val="0"/>
          <w:numId w:val="1"/>
        </w:numPr>
        <w:jc w:val="both"/>
        <w:rPr>
          <w:rFonts w:ascii="Times New Roman" w:hAnsi="Times New Roman" w:cs="Times New Roman"/>
          <w:sz w:val="20"/>
          <w:szCs w:val="20"/>
        </w:rPr>
      </w:pPr>
      <w:r w:rsidRPr="009C13E8">
        <w:rPr>
          <w:rFonts w:ascii="Times New Roman" w:hAnsi="Times New Roman" w:cs="Times New Roman"/>
          <w:sz w:val="20"/>
          <w:szCs w:val="20"/>
        </w:rPr>
        <w:t>Psychological Safety and Reporting Culture: For near</w:t>
      </w:r>
      <w:r w:rsidR="00497454">
        <w:rPr>
          <w:rFonts w:ascii="Times New Roman" w:hAnsi="Times New Roman" w:cs="Times New Roman"/>
          <w:sz w:val="20"/>
          <w:szCs w:val="20"/>
        </w:rPr>
        <w:t>-</w:t>
      </w:r>
      <w:r w:rsidRPr="009C13E8">
        <w:rPr>
          <w:rFonts w:ascii="Times New Roman" w:hAnsi="Times New Roman" w:cs="Times New Roman"/>
          <w:sz w:val="20"/>
          <w:szCs w:val="20"/>
        </w:rPr>
        <w:t xml:space="preserve">misses to be transformed into training scenarios, the organization must foster a high degree of psychological safety. Recent systematic reviews indicate that, in high-stakes environments, the willingness to report errors and "almost-events" is directly correlated with perceptions of a non-punitive response </w:t>
      </w:r>
      <w:r w:rsidR="00CC0962">
        <w:rPr>
          <w:rFonts w:ascii="Times New Roman" w:hAnsi="Times New Roman" w:cs="Times New Roman"/>
          <w:sz w:val="20"/>
          <w:szCs w:val="20"/>
        </w:rPr>
        <w:fldChar w:fldCharType="begin"/>
      </w:r>
      <w:r w:rsidR="00CC0962">
        <w:rPr>
          <w:rFonts w:ascii="Times New Roman" w:hAnsi="Times New Roman" w:cs="Times New Roman"/>
          <w:sz w:val="20"/>
          <w:szCs w:val="20"/>
        </w:rPr>
        <w:instrText xml:space="preserve"> ADDIN EN.CITE &lt;EndNote&gt;&lt;Cite&gt;&lt;Author&gt;Montgomery&lt;/Author&gt;&lt;Year&gt;2025&lt;/Year&gt;&lt;RecNum&gt;13&lt;/RecNum&gt;&lt;DisplayText&gt;[12]&lt;/DisplayText&gt;&lt;record&gt;&lt;rec-number&gt;13&lt;/rec-number&gt;&lt;foreign-keys&gt;&lt;key app="EN" db-id="dz0tx9r22vexwlee5zcv2d92r92sp99dxwfv" timestamp="1767964143"&gt;13&lt;/key&gt;&lt;/foreign-keys&gt;&lt;ref-type name="Journal Article"&gt;17&lt;/ref-type&gt;&lt;contributors&gt;&lt;authors&gt;&lt;author&gt;Montgomery, Anthony&lt;/author&gt;&lt;author&gt;Chalili, Vilma&lt;/author&gt;&lt;author&gt;Lainidi, Olga&lt;/author&gt;&lt;author&gt;Mouratidis, Christos&lt;/author&gt;&lt;author&gt;Maliousis, Ilias&lt;/author&gt;&lt;author&gt;Paitaridou, Konstantina&lt;/author&gt;&lt;author&gt;Leary, Alison&lt;/author&gt;&lt;/authors&gt;&lt;/contributors&gt;&lt;titles&gt;&lt;title&gt;Psychological safety and patient safety: A systematic and narrative review&lt;/title&gt;&lt;secondary-title&gt;PLoS One&lt;/secondary-title&gt;&lt;/titles&gt;&lt;periodical&gt;&lt;full-title&gt;PLoS One&lt;/full-title&gt;&lt;/periodical&gt;&lt;pages&gt;e0322215&lt;/pages&gt;&lt;volume&gt;20&lt;/volume&gt;&lt;number&gt;4&lt;/number&gt;&lt;dates&gt;&lt;year&gt;2025&lt;/year&gt;&lt;/dates&gt;&lt;isbn&gt;1932-6203&lt;/isbn&gt;&lt;urls&gt;&lt;/urls&gt;&lt;/record&gt;&lt;/Cite&gt;&lt;/EndNote&gt;</w:instrText>
      </w:r>
      <w:r w:rsidR="00CC0962">
        <w:rPr>
          <w:rFonts w:ascii="Times New Roman" w:hAnsi="Times New Roman" w:cs="Times New Roman"/>
          <w:sz w:val="20"/>
          <w:szCs w:val="20"/>
        </w:rPr>
        <w:fldChar w:fldCharType="separate"/>
      </w:r>
      <w:r w:rsidR="00CC0962">
        <w:rPr>
          <w:rFonts w:ascii="Times New Roman" w:hAnsi="Times New Roman" w:cs="Times New Roman"/>
          <w:noProof/>
          <w:sz w:val="20"/>
          <w:szCs w:val="20"/>
        </w:rPr>
        <w:t>[12]</w:t>
      </w:r>
      <w:r w:rsidR="00CC0962">
        <w:rPr>
          <w:rFonts w:ascii="Times New Roman" w:hAnsi="Times New Roman" w:cs="Times New Roman"/>
          <w:sz w:val="20"/>
          <w:szCs w:val="20"/>
        </w:rPr>
        <w:fldChar w:fldCharType="end"/>
      </w:r>
      <w:r w:rsidRPr="009C13E8">
        <w:rPr>
          <w:rFonts w:ascii="Times New Roman" w:hAnsi="Times New Roman" w:cs="Times New Roman"/>
          <w:sz w:val="20"/>
          <w:szCs w:val="20"/>
        </w:rPr>
        <w:t>. Without this psychological safety, the "learning substrate" of the antifragile system is cut off, as operators hide the very data needed to design realistic scenarios.</w:t>
      </w:r>
    </w:p>
    <w:p w14:paraId="234B5B79" w14:textId="6E338364" w:rsidR="004B6CD1" w:rsidRDefault="009C13E8" w:rsidP="009C13E8">
      <w:pPr>
        <w:pStyle w:val="ListParagraph"/>
        <w:numPr>
          <w:ilvl w:val="0"/>
          <w:numId w:val="1"/>
        </w:numPr>
        <w:jc w:val="both"/>
        <w:rPr>
          <w:rFonts w:ascii="Times New Roman" w:hAnsi="Times New Roman" w:cs="Times New Roman"/>
          <w:sz w:val="20"/>
          <w:szCs w:val="20"/>
        </w:rPr>
      </w:pPr>
      <w:r w:rsidRPr="009C13E8">
        <w:rPr>
          <w:rFonts w:ascii="Times New Roman" w:hAnsi="Times New Roman" w:cs="Times New Roman"/>
          <w:sz w:val="20"/>
          <w:szCs w:val="20"/>
        </w:rPr>
        <w:t xml:space="preserve">Data Granularity: The reporting mechanism should capture not only technical failures (e.g., </w:t>
      </w:r>
      <w:r w:rsidR="005D630D">
        <w:rPr>
          <w:rFonts w:ascii="Times New Roman" w:hAnsi="Times New Roman" w:cs="Times New Roman"/>
          <w:sz w:val="20"/>
          <w:szCs w:val="20"/>
        </w:rPr>
        <w:t>“</w:t>
      </w:r>
      <w:r w:rsidRPr="009C13E8">
        <w:rPr>
          <w:rFonts w:ascii="Times New Roman" w:hAnsi="Times New Roman" w:cs="Times New Roman"/>
          <w:sz w:val="20"/>
          <w:szCs w:val="20"/>
        </w:rPr>
        <w:t>a valve stuck</w:t>
      </w:r>
      <w:r w:rsidR="005D630D">
        <w:rPr>
          <w:rFonts w:ascii="Times New Roman" w:hAnsi="Times New Roman" w:cs="Times New Roman"/>
          <w:sz w:val="20"/>
          <w:szCs w:val="20"/>
        </w:rPr>
        <w:t>”</w:t>
      </w:r>
      <w:r w:rsidRPr="009C13E8">
        <w:rPr>
          <w:rFonts w:ascii="Times New Roman" w:hAnsi="Times New Roman" w:cs="Times New Roman"/>
          <w:sz w:val="20"/>
          <w:szCs w:val="20"/>
        </w:rPr>
        <w:t xml:space="preserve">) but also cognitive and behavioral context (e.g., </w:t>
      </w:r>
      <w:r w:rsidR="005D630D">
        <w:rPr>
          <w:rFonts w:ascii="Times New Roman" w:hAnsi="Times New Roman" w:cs="Times New Roman"/>
          <w:sz w:val="20"/>
          <w:szCs w:val="20"/>
        </w:rPr>
        <w:t>“</w:t>
      </w:r>
      <w:r w:rsidRPr="009C13E8">
        <w:rPr>
          <w:rFonts w:ascii="Times New Roman" w:hAnsi="Times New Roman" w:cs="Times New Roman"/>
          <w:sz w:val="20"/>
          <w:szCs w:val="20"/>
        </w:rPr>
        <w:t>distracted by an alarm flood</w:t>
      </w:r>
      <w:r w:rsidR="005D630D">
        <w:rPr>
          <w:rFonts w:ascii="Times New Roman" w:hAnsi="Times New Roman" w:cs="Times New Roman"/>
          <w:sz w:val="20"/>
          <w:szCs w:val="20"/>
        </w:rPr>
        <w:t>”</w:t>
      </w:r>
      <w:r w:rsidRPr="009C13E8">
        <w:rPr>
          <w:rFonts w:ascii="Times New Roman" w:hAnsi="Times New Roman" w:cs="Times New Roman"/>
          <w:sz w:val="20"/>
          <w:szCs w:val="20"/>
        </w:rPr>
        <w:t xml:space="preserve">). This depth is essential for Safety-II analysis, which seeks to understand “work done” rather than “work perceived” </w:t>
      </w:r>
      <w:r w:rsidR="00CC0962">
        <w:rPr>
          <w:rFonts w:ascii="Times New Roman" w:hAnsi="Times New Roman" w:cs="Times New Roman"/>
          <w:sz w:val="20"/>
          <w:szCs w:val="20"/>
        </w:rPr>
        <w:fldChar w:fldCharType="begin"/>
      </w:r>
      <w:r w:rsidR="00CC0962">
        <w:rPr>
          <w:rFonts w:ascii="Times New Roman" w:hAnsi="Times New Roman" w:cs="Times New Roman"/>
          <w:sz w:val="20"/>
          <w:szCs w:val="20"/>
        </w:rPr>
        <w:instrText xml:space="preserve"> ADDIN EN.CITE &lt;EndNote&gt;&lt;Cite&gt;&lt;Author&gt;Ham&lt;/Author&gt;&lt;Year&gt;2021&lt;/Year&gt;&lt;RecNum&gt;3&lt;/RecNum&gt;&lt;DisplayText&gt;[2, 4]&lt;/DisplayText&gt;&lt;record&gt;&lt;rec-number&gt;3&lt;/rec-number&gt;&lt;foreign-keys&gt;&lt;key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Cite&gt;&lt;Author&gt;De Leo&lt;/Author&gt;&lt;Year&gt;2023&lt;/Year&gt;&lt;RecNum&gt;5&lt;/RecNum&gt;&lt;record&gt;&lt;rec-number&gt;5&lt;/rec-number&gt;&lt;foreign-keys&gt;&lt;key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CC0962">
        <w:rPr>
          <w:rFonts w:ascii="Times New Roman" w:hAnsi="Times New Roman" w:cs="Times New Roman"/>
          <w:sz w:val="20"/>
          <w:szCs w:val="20"/>
        </w:rPr>
        <w:fldChar w:fldCharType="separate"/>
      </w:r>
      <w:r w:rsidR="00CC0962">
        <w:rPr>
          <w:rFonts w:ascii="Times New Roman" w:hAnsi="Times New Roman" w:cs="Times New Roman"/>
          <w:noProof/>
          <w:sz w:val="20"/>
          <w:szCs w:val="20"/>
        </w:rPr>
        <w:t>[2, 4]</w:t>
      </w:r>
      <w:r w:rsidR="00CC0962">
        <w:rPr>
          <w:rFonts w:ascii="Times New Roman" w:hAnsi="Times New Roman" w:cs="Times New Roman"/>
          <w:sz w:val="20"/>
          <w:szCs w:val="20"/>
        </w:rPr>
        <w:fldChar w:fldCharType="end"/>
      </w:r>
      <w:r w:rsidRPr="009C13E8">
        <w:rPr>
          <w:rFonts w:ascii="Times New Roman" w:hAnsi="Times New Roman" w:cs="Times New Roman"/>
          <w:sz w:val="20"/>
          <w:szCs w:val="20"/>
        </w:rPr>
        <w:t>.</w:t>
      </w:r>
    </w:p>
    <w:p w14:paraId="0B772654" w14:textId="0E2DCA7D" w:rsidR="009C13E8" w:rsidRPr="008209FC" w:rsidRDefault="008209FC" w:rsidP="00185230">
      <w:pPr>
        <w:jc w:val="both"/>
        <w:rPr>
          <w:rFonts w:ascii="Times New Roman" w:hAnsi="Times New Roman" w:cs="Times New Roman"/>
          <w:sz w:val="20"/>
          <w:szCs w:val="20"/>
        </w:rPr>
      </w:pPr>
      <w:r w:rsidRPr="008209FC">
        <w:rPr>
          <w:rFonts w:ascii="Times New Roman" w:hAnsi="Times New Roman" w:cs="Times New Roman"/>
          <w:sz w:val="20"/>
          <w:szCs w:val="20"/>
        </w:rPr>
        <w:t xml:space="preserve">3.6. </w:t>
      </w:r>
      <w:r w:rsidR="009C13E8" w:rsidRPr="008209FC">
        <w:rPr>
          <w:rFonts w:ascii="Times New Roman" w:hAnsi="Times New Roman" w:cs="Times New Roman"/>
          <w:sz w:val="20"/>
          <w:szCs w:val="20"/>
        </w:rPr>
        <w:t>Process: Scenario Engineering and Controlled Perturbation</w:t>
      </w:r>
    </w:p>
    <w:p w14:paraId="743B6BD8" w14:textId="20D0A862" w:rsidR="009C13E8" w:rsidRDefault="007A30F8" w:rsidP="001D000B">
      <w:pPr>
        <w:jc w:val="both"/>
        <w:rPr>
          <w:rFonts w:ascii="Times New Roman" w:hAnsi="Times New Roman" w:cs="Times New Roman"/>
          <w:sz w:val="20"/>
          <w:szCs w:val="20"/>
        </w:rPr>
      </w:pPr>
      <w:r w:rsidRPr="007A30F8">
        <w:rPr>
          <w:rFonts w:ascii="Times New Roman" w:hAnsi="Times New Roman" w:cs="Times New Roman"/>
          <w:sz w:val="20"/>
          <w:szCs w:val="20"/>
        </w:rPr>
        <w:t>The main mechanism of this framework is scenario engineering, which transforms near</w:t>
      </w:r>
      <w:r w:rsidR="00B04A3C">
        <w:rPr>
          <w:rFonts w:ascii="Times New Roman" w:hAnsi="Times New Roman" w:cs="Times New Roman"/>
          <w:sz w:val="20"/>
          <w:szCs w:val="20"/>
        </w:rPr>
        <w:t>-</w:t>
      </w:r>
      <w:r w:rsidRPr="007A30F8">
        <w:rPr>
          <w:rFonts w:ascii="Times New Roman" w:hAnsi="Times New Roman" w:cs="Times New Roman"/>
          <w:sz w:val="20"/>
          <w:szCs w:val="20"/>
        </w:rPr>
        <w:t xml:space="preserve">historical data into simulation-based exercises. This phase operationalizes the concept of antifragility by exposing learners to controlled disruption </w:t>
      </w:r>
      <w:r w:rsidR="00CC0962">
        <w:rPr>
          <w:rFonts w:ascii="Times New Roman" w:hAnsi="Times New Roman" w:cs="Times New Roman"/>
          <w:sz w:val="20"/>
          <w:szCs w:val="20"/>
        </w:rPr>
        <w:fldChar w:fldCharType="begin"/>
      </w:r>
      <w:r w:rsidR="00CC0962">
        <w:rPr>
          <w:rFonts w:ascii="Times New Roman" w:hAnsi="Times New Roman" w:cs="Times New Roman"/>
          <w:sz w:val="20"/>
          <w:szCs w:val="20"/>
        </w:rPr>
        <w:instrText xml:space="preserve"> ADDIN EN.CITE &lt;EndNote&gt;&lt;Cite&gt;&lt;Author&gt;Taleb&lt;/Author&gt;&lt;Year&gt;2012&lt;/Year&gt;&lt;RecNum&gt;10&lt;/RecNum&gt;&lt;DisplayText&gt;[3, 9]&lt;/DisplayText&gt;&lt;record&gt;&lt;rec-number&gt;10&lt;/rec-number&gt;&lt;foreign-keys&gt;&lt;key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Cite&gt;&lt;Author&gt;Martinetti&lt;/Author&gt;&lt;Year&gt;2019&lt;/Year&gt;&lt;RecNum&gt;4&lt;/RecNum&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EndNote&gt;</w:instrText>
      </w:r>
      <w:r w:rsidR="00CC0962">
        <w:rPr>
          <w:rFonts w:ascii="Times New Roman" w:hAnsi="Times New Roman" w:cs="Times New Roman"/>
          <w:sz w:val="20"/>
          <w:szCs w:val="20"/>
        </w:rPr>
        <w:fldChar w:fldCharType="separate"/>
      </w:r>
      <w:r w:rsidR="00CC0962">
        <w:rPr>
          <w:rFonts w:ascii="Times New Roman" w:hAnsi="Times New Roman" w:cs="Times New Roman"/>
          <w:noProof/>
          <w:sz w:val="20"/>
          <w:szCs w:val="20"/>
        </w:rPr>
        <w:t>[3, 9]</w:t>
      </w:r>
      <w:r w:rsidR="00CC0962">
        <w:rPr>
          <w:rFonts w:ascii="Times New Roman" w:hAnsi="Times New Roman" w:cs="Times New Roman"/>
          <w:sz w:val="20"/>
          <w:szCs w:val="20"/>
        </w:rPr>
        <w:fldChar w:fldCharType="end"/>
      </w:r>
      <w:r w:rsidRPr="007A30F8">
        <w:rPr>
          <w:rFonts w:ascii="Times New Roman" w:hAnsi="Times New Roman" w:cs="Times New Roman"/>
          <w:sz w:val="20"/>
          <w:szCs w:val="20"/>
        </w:rPr>
        <w:t>.</w:t>
      </w:r>
    </w:p>
    <w:p w14:paraId="7C5BEFF8" w14:textId="1FEE3E23" w:rsidR="007A30F8" w:rsidRDefault="007A30F8" w:rsidP="007A30F8">
      <w:pPr>
        <w:pStyle w:val="ListParagraph"/>
        <w:numPr>
          <w:ilvl w:val="0"/>
          <w:numId w:val="2"/>
        </w:numPr>
        <w:jc w:val="both"/>
        <w:rPr>
          <w:rFonts w:ascii="Times New Roman" w:hAnsi="Times New Roman" w:cs="Times New Roman"/>
          <w:sz w:val="20"/>
          <w:szCs w:val="20"/>
        </w:rPr>
      </w:pPr>
      <w:r w:rsidRPr="007A30F8">
        <w:rPr>
          <w:rFonts w:ascii="Times New Roman" w:hAnsi="Times New Roman" w:cs="Times New Roman"/>
          <w:sz w:val="20"/>
          <w:szCs w:val="20"/>
        </w:rPr>
        <w:t xml:space="preserve">From Data to Simulation: Instead of generic modules, training scenarios are reverse-engineered from recent </w:t>
      </w:r>
      <w:r w:rsidR="00497454">
        <w:rPr>
          <w:rFonts w:ascii="Times New Roman" w:hAnsi="Times New Roman" w:cs="Times New Roman"/>
          <w:sz w:val="20"/>
          <w:szCs w:val="20"/>
        </w:rPr>
        <w:t>near-miss</w:t>
      </w:r>
      <w:r w:rsidRPr="007A30F8">
        <w:rPr>
          <w:rFonts w:ascii="Times New Roman" w:hAnsi="Times New Roman" w:cs="Times New Roman"/>
          <w:sz w:val="20"/>
          <w:szCs w:val="20"/>
        </w:rPr>
        <w:t xml:space="preserve"> reports. For instance, a reported "communication breakdown during shift handover" is scripted into a Virtual Reality (VR) or Operator Training Simulator (OTS) exercise </w:t>
      </w:r>
      <w:r w:rsidR="00C223F2">
        <w:rPr>
          <w:rFonts w:ascii="Times New Roman" w:hAnsi="Times New Roman" w:cs="Times New Roman"/>
          <w:sz w:val="20"/>
          <w:szCs w:val="20"/>
        </w:rPr>
        <w:fldChar w:fldCharType="begin"/>
      </w:r>
      <w:r w:rsidR="00C223F2">
        <w:rPr>
          <w:rFonts w:ascii="Times New Roman" w:hAnsi="Times New Roman" w:cs="Times New Roman"/>
          <w:sz w:val="20"/>
          <w:szCs w:val="20"/>
        </w:rPr>
        <w:instrText xml:space="preserve"> ADDIN EN.CITE &lt;EndNote&gt;&lt;Cite&gt;&lt;Author&gt;Scorgie&lt;/Author&gt;&lt;Year&gt;2024&lt;/Year&gt;&lt;RecNum&gt;1&lt;/RecNum&gt;&lt;DisplayText&gt;[1, 6]&lt;/DisplayText&gt;&lt;record&gt;&lt;rec-number&gt;1&lt;/rec-number&gt;&lt;foreign-keys&gt;&lt;key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Cite&gt;&lt;Author&gt;Lee&lt;/Author&gt;&lt;Year&gt;2023&lt;/Year&gt;&lt;RecNum&gt;7&lt;/RecNum&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C223F2">
        <w:rPr>
          <w:rFonts w:ascii="Times New Roman" w:hAnsi="Times New Roman" w:cs="Times New Roman"/>
          <w:sz w:val="20"/>
          <w:szCs w:val="20"/>
        </w:rPr>
        <w:fldChar w:fldCharType="separate"/>
      </w:r>
      <w:r w:rsidR="00C223F2">
        <w:rPr>
          <w:rFonts w:ascii="Times New Roman" w:hAnsi="Times New Roman" w:cs="Times New Roman"/>
          <w:noProof/>
          <w:sz w:val="20"/>
          <w:szCs w:val="20"/>
        </w:rPr>
        <w:t>[1, 6]</w:t>
      </w:r>
      <w:r w:rsidR="00C223F2">
        <w:rPr>
          <w:rFonts w:ascii="Times New Roman" w:hAnsi="Times New Roman" w:cs="Times New Roman"/>
          <w:sz w:val="20"/>
          <w:szCs w:val="20"/>
        </w:rPr>
        <w:fldChar w:fldCharType="end"/>
      </w:r>
      <w:r w:rsidRPr="007A30F8">
        <w:rPr>
          <w:rFonts w:ascii="Times New Roman" w:hAnsi="Times New Roman" w:cs="Times New Roman"/>
          <w:sz w:val="20"/>
          <w:szCs w:val="20"/>
        </w:rPr>
        <w:t>.</w:t>
      </w:r>
    </w:p>
    <w:p w14:paraId="784E21F1" w14:textId="099017E0" w:rsidR="007A30F8" w:rsidRDefault="007A30F8" w:rsidP="007A30F8">
      <w:pPr>
        <w:pStyle w:val="ListParagraph"/>
        <w:numPr>
          <w:ilvl w:val="0"/>
          <w:numId w:val="2"/>
        </w:numPr>
        <w:jc w:val="both"/>
        <w:rPr>
          <w:rFonts w:ascii="Times New Roman" w:hAnsi="Times New Roman" w:cs="Times New Roman"/>
          <w:sz w:val="20"/>
          <w:szCs w:val="20"/>
        </w:rPr>
      </w:pPr>
      <w:r w:rsidRPr="007A30F8">
        <w:rPr>
          <w:rFonts w:ascii="Times New Roman" w:hAnsi="Times New Roman" w:cs="Times New Roman"/>
          <w:sz w:val="20"/>
          <w:szCs w:val="20"/>
        </w:rPr>
        <w:t>Dynamic escalation: To create antifragility, scenarios should include random elements</w:t>
      </w:r>
      <w:r>
        <w:rPr>
          <w:rFonts w:ascii="Times New Roman" w:hAnsi="Times New Roman" w:cs="Times New Roman"/>
          <w:sz w:val="20"/>
          <w:szCs w:val="20"/>
        </w:rPr>
        <w:t>-</w:t>
      </w:r>
      <w:r w:rsidRPr="007A30F8">
        <w:rPr>
          <w:rFonts w:ascii="Times New Roman" w:hAnsi="Times New Roman" w:cs="Times New Roman"/>
          <w:sz w:val="20"/>
          <w:szCs w:val="20"/>
        </w:rPr>
        <w:t>such as unexpected equipment failures or inconsistent data</w:t>
      </w:r>
      <w:r>
        <w:rPr>
          <w:rFonts w:ascii="Times New Roman" w:hAnsi="Times New Roman" w:cs="Times New Roman"/>
          <w:sz w:val="20"/>
          <w:szCs w:val="20"/>
        </w:rPr>
        <w:t>-</w:t>
      </w:r>
      <w:r w:rsidRPr="007A30F8">
        <w:rPr>
          <w:rFonts w:ascii="Times New Roman" w:hAnsi="Times New Roman" w:cs="Times New Roman"/>
          <w:sz w:val="20"/>
          <w:szCs w:val="20"/>
        </w:rPr>
        <w:t xml:space="preserve">that force the operator to adapt. This </w:t>
      </w:r>
      <w:r w:rsidR="00343E2B">
        <w:rPr>
          <w:rFonts w:ascii="Times New Roman" w:hAnsi="Times New Roman" w:cs="Times New Roman"/>
          <w:sz w:val="20"/>
          <w:szCs w:val="20"/>
        </w:rPr>
        <w:t>finding is consistent with recent research on antifragile manufacturing systems, which demonstrates</w:t>
      </w:r>
      <w:r w:rsidRPr="007A30F8">
        <w:rPr>
          <w:rFonts w:ascii="Times New Roman" w:hAnsi="Times New Roman" w:cs="Times New Roman"/>
          <w:sz w:val="20"/>
          <w:szCs w:val="20"/>
        </w:rPr>
        <w:t xml:space="preserve"> that system capability is enhanced through the strategic integration of variability and stress testing </w:t>
      </w:r>
      <w:r w:rsidR="00C223F2">
        <w:rPr>
          <w:rFonts w:ascii="Times New Roman" w:hAnsi="Times New Roman" w:cs="Times New Roman"/>
          <w:sz w:val="20"/>
          <w:szCs w:val="20"/>
        </w:rPr>
        <w:fldChar w:fldCharType="begin"/>
      </w:r>
      <w:r w:rsidR="00C223F2">
        <w:rPr>
          <w:rFonts w:ascii="Times New Roman" w:hAnsi="Times New Roman" w:cs="Times New Roman"/>
          <w:sz w:val="20"/>
          <w:szCs w:val="20"/>
        </w:rPr>
        <w:instrText xml:space="preserve"> ADDIN EN.CITE &lt;EndNote&gt;&lt;Cite&gt;&lt;Author&gt;Ghobakhloo&lt;/Author&gt;&lt;Year&gt;2025&lt;/Year&gt;&lt;RecNum&gt;14&lt;/RecNum&gt;&lt;DisplayText&gt;[13]&lt;/DisplayText&gt;&lt;record&gt;&lt;rec-number&gt;14&lt;/rec-number&gt;&lt;foreign-keys&gt;&lt;key app="EN" db-id="dz0tx9r22vexwlee5zcv2d92r92sp99dxwfv" timestamp="1767964152"&gt;14&lt;/key&gt;&lt;/foreign-keys&gt;&lt;ref-type name="Journal Article"&gt;17&lt;/ref-type&gt;&lt;contributors&gt;&lt;authors&gt;&lt;author&gt;Ghobakhloo, Morteza&lt;/author&gt;&lt;author&gt;Foroughi, Behzad&lt;/author&gt;&lt;author&gt;Fathi, Masood&lt;/author&gt;&lt;author&gt;Al-Emran, Mostafa&lt;/author&gt;&lt;author&gt;Al-Sharafi, Mohammed A&lt;/author&gt;&lt;author&gt;Mubarak, Muhammad Faraz&lt;/author&gt;&lt;/authors&gt;&lt;/contributors&gt;&lt;titles&gt;&lt;title&gt;Building antifragile manufacturing systems through strategic technology integration&lt;/title&gt;&lt;secondary-title&gt;Journal of Manufacturing Technology Management&lt;/secondary-title&gt;&lt;/titles&gt;&lt;periodical&gt;&lt;full-title&gt;Journal of Manufacturing Technology Management&lt;/full-title&gt;&lt;/periodical&gt;&lt;pages&gt;221-242&lt;/pages&gt;&lt;volume&gt;36&lt;/volume&gt;&lt;number&gt;9&lt;/number&gt;&lt;dates&gt;&lt;year&gt;2025&lt;/year&gt;&lt;/dates&gt;&lt;isbn&gt;1741-038X&lt;/isbn&gt;&lt;urls&gt;&lt;/urls&gt;&lt;/record&gt;&lt;/Cite&gt;&lt;/EndNote&gt;</w:instrText>
      </w:r>
      <w:r w:rsidR="00C223F2">
        <w:rPr>
          <w:rFonts w:ascii="Times New Roman" w:hAnsi="Times New Roman" w:cs="Times New Roman"/>
          <w:sz w:val="20"/>
          <w:szCs w:val="20"/>
        </w:rPr>
        <w:fldChar w:fldCharType="separate"/>
      </w:r>
      <w:r w:rsidR="00C223F2">
        <w:rPr>
          <w:rFonts w:ascii="Times New Roman" w:hAnsi="Times New Roman" w:cs="Times New Roman"/>
          <w:noProof/>
          <w:sz w:val="20"/>
          <w:szCs w:val="20"/>
        </w:rPr>
        <w:t>[13]</w:t>
      </w:r>
      <w:r w:rsidR="00C223F2">
        <w:rPr>
          <w:rFonts w:ascii="Times New Roman" w:hAnsi="Times New Roman" w:cs="Times New Roman"/>
          <w:sz w:val="20"/>
          <w:szCs w:val="20"/>
        </w:rPr>
        <w:fldChar w:fldCharType="end"/>
      </w:r>
      <w:r w:rsidRPr="007A30F8">
        <w:rPr>
          <w:rFonts w:ascii="Times New Roman" w:hAnsi="Times New Roman" w:cs="Times New Roman"/>
          <w:sz w:val="20"/>
          <w:szCs w:val="20"/>
        </w:rPr>
        <w:t>.</w:t>
      </w:r>
    </w:p>
    <w:p w14:paraId="6E3BC257" w14:textId="77F3D27C" w:rsidR="007A30F8" w:rsidRDefault="007A30F8" w:rsidP="007A30F8">
      <w:pPr>
        <w:pStyle w:val="ListParagraph"/>
        <w:numPr>
          <w:ilvl w:val="0"/>
          <w:numId w:val="2"/>
        </w:numPr>
        <w:jc w:val="both"/>
        <w:rPr>
          <w:rFonts w:ascii="Times New Roman" w:hAnsi="Times New Roman" w:cs="Times New Roman"/>
          <w:sz w:val="20"/>
          <w:szCs w:val="20"/>
        </w:rPr>
      </w:pPr>
      <w:r w:rsidRPr="007A30F8">
        <w:rPr>
          <w:rFonts w:ascii="Times New Roman" w:hAnsi="Times New Roman" w:cs="Times New Roman"/>
          <w:sz w:val="20"/>
          <w:szCs w:val="20"/>
        </w:rPr>
        <w:t xml:space="preserve">Iterative Rehearsal: The use of OTS enables repeated exposure to high-risk, low-probability events, allowing operators to experiment with different response strategies without real-world consequences </w:t>
      </w:r>
      <w:r w:rsidR="00C223F2">
        <w:rPr>
          <w:rFonts w:ascii="Times New Roman" w:hAnsi="Times New Roman" w:cs="Times New Roman"/>
          <w:sz w:val="20"/>
          <w:szCs w:val="20"/>
        </w:rPr>
        <w:fldChar w:fldCharType="begin"/>
      </w:r>
      <w:r w:rsidR="00C223F2">
        <w:rPr>
          <w:rFonts w:ascii="Times New Roman" w:hAnsi="Times New Roman" w:cs="Times New Roman"/>
          <w:sz w:val="20"/>
          <w:szCs w:val="20"/>
        </w:rPr>
        <w:instrText xml:space="preserve"> ADDIN EN.CITE &lt;EndNote&gt;&lt;Cite&gt;&lt;Author&gt;Lee&lt;/Author&gt;&lt;Year&gt;2023&lt;/Year&gt;&lt;RecNum&gt;7&lt;/RecNum&gt;&lt;DisplayText&gt;[6]&lt;/DisplayText&gt;&lt;record&gt;&lt;rec-number&gt;7&lt;/rec-number&gt;&lt;foreign-keys&gt;&lt;key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C223F2">
        <w:rPr>
          <w:rFonts w:ascii="Times New Roman" w:hAnsi="Times New Roman" w:cs="Times New Roman"/>
          <w:sz w:val="20"/>
          <w:szCs w:val="20"/>
        </w:rPr>
        <w:fldChar w:fldCharType="separate"/>
      </w:r>
      <w:r w:rsidR="00C223F2">
        <w:rPr>
          <w:rFonts w:ascii="Times New Roman" w:hAnsi="Times New Roman" w:cs="Times New Roman"/>
          <w:noProof/>
          <w:sz w:val="20"/>
          <w:szCs w:val="20"/>
        </w:rPr>
        <w:t>[6]</w:t>
      </w:r>
      <w:r w:rsidR="00C223F2">
        <w:rPr>
          <w:rFonts w:ascii="Times New Roman" w:hAnsi="Times New Roman" w:cs="Times New Roman"/>
          <w:sz w:val="20"/>
          <w:szCs w:val="20"/>
        </w:rPr>
        <w:fldChar w:fldCharType="end"/>
      </w:r>
      <w:r w:rsidRPr="007A30F8">
        <w:rPr>
          <w:rFonts w:ascii="Times New Roman" w:hAnsi="Times New Roman" w:cs="Times New Roman"/>
          <w:sz w:val="20"/>
          <w:szCs w:val="20"/>
        </w:rPr>
        <w:t>.</w:t>
      </w:r>
    </w:p>
    <w:p w14:paraId="36EF66D7" w14:textId="68D48700" w:rsidR="00343E2B" w:rsidRPr="008209FC" w:rsidRDefault="008209FC" w:rsidP="00343E2B">
      <w:pPr>
        <w:jc w:val="both"/>
        <w:rPr>
          <w:rFonts w:ascii="Times New Roman" w:hAnsi="Times New Roman" w:cs="Times New Roman"/>
          <w:sz w:val="20"/>
          <w:szCs w:val="20"/>
        </w:rPr>
      </w:pPr>
      <w:r w:rsidRPr="008209FC">
        <w:rPr>
          <w:rFonts w:ascii="Times New Roman" w:hAnsi="Times New Roman" w:cs="Times New Roman"/>
          <w:sz w:val="20"/>
          <w:szCs w:val="20"/>
        </w:rPr>
        <w:t xml:space="preserve">3.7. </w:t>
      </w:r>
      <w:r w:rsidR="00343E2B" w:rsidRPr="008209FC">
        <w:rPr>
          <w:rFonts w:ascii="Times New Roman" w:hAnsi="Times New Roman" w:cs="Times New Roman"/>
          <w:sz w:val="20"/>
          <w:szCs w:val="20"/>
        </w:rPr>
        <w:t>Reinforcement: Rapid Feedback Loops</w:t>
      </w:r>
    </w:p>
    <w:p w14:paraId="7696CE83" w14:textId="6EE40D4D" w:rsidR="00D5512E" w:rsidRPr="00D5512E" w:rsidRDefault="00D5512E" w:rsidP="00D5512E">
      <w:pPr>
        <w:jc w:val="both"/>
        <w:rPr>
          <w:rFonts w:ascii="Times New Roman" w:hAnsi="Times New Roman" w:cs="Times New Roman"/>
          <w:sz w:val="20"/>
          <w:szCs w:val="20"/>
        </w:rPr>
      </w:pPr>
      <w:r w:rsidRPr="00D5512E">
        <w:rPr>
          <w:rFonts w:ascii="Times New Roman" w:hAnsi="Times New Roman" w:cs="Times New Roman"/>
          <w:sz w:val="20"/>
          <w:szCs w:val="20"/>
        </w:rPr>
        <w:t xml:space="preserve">The final pillar ensures that experience translates into behavioral change. Evidence from Behavior-Based Safety (BBS) suggests that the timing of feedback is critical </w:t>
      </w:r>
      <w:r w:rsidR="00C248A7">
        <w:rPr>
          <w:rFonts w:ascii="Times New Roman" w:hAnsi="Times New Roman" w:cs="Times New Roman"/>
          <w:sz w:val="20"/>
          <w:szCs w:val="20"/>
        </w:rPr>
        <w:fldChar w:fldCharType="begin"/>
      </w:r>
      <w:r w:rsidR="00C248A7">
        <w:rPr>
          <w:rFonts w:ascii="Times New Roman" w:hAnsi="Times New Roman" w:cs="Times New Roman"/>
          <w:sz w:val="20"/>
          <w:szCs w:val="20"/>
        </w:rPr>
        <w:instrText xml:space="preserve"> ADDIN EN.CITE &lt;EndNote&gt;&lt;Cite&gt;&lt;Author&gt;Spigener&lt;/Author&gt;&lt;Year&gt;2022&lt;/Year&gt;&lt;RecNum&gt;8&lt;/RecNum&gt;&lt;DisplayText&gt;[7]&lt;/DisplayText&gt;&lt;record&gt;&lt;rec-number&gt;8&lt;/rec-number&gt;&lt;foreign-keys&gt;&lt;key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sidR="00C248A7">
        <w:rPr>
          <w:rFonts w:ascii="Times New Roman" w:hAnsi="Times New Roman" w:cs="Times New Roman"/>
          <w:sz w:val="20"/>
          <w:szCs w:val="20"/>
        </w:rPr>
        <w:fldChar w:fldCharType="separate"/>
      </w:r>
      <w:r w:rsidR="00C248A7">
        <w:rPr>
          <w:rFonts w:ascii="Times New Roman" w:hAnsi="Times New Roman" w:cs="Times New Roman"/>
          <w:noProof/>
          <w:sz w:val="20"/>
          <w:szCs w:val="20"/>
        </w:rPr>
        <w:t>[7]</w:t>
      </w:r>
      <w:r w:rsidR="00C248A7">
        <w:rPr>
          <w:rFonts w:ascii="Times New Roman" w:hAnsi="Times New Roman" w:cs="Times New Roman"/>
          <w:sz w:val="20"/>
          <w:szCs w:val="20"/>
        </w:rPr>
        <w:fldChar w:fldCharType="end"/>
      </w:r>
      <w:r w:rsidRPr="00D5512E">
        <w:rPr>
          <w:rFonts w:ascii="Times New Roman" w:hAnsi="Times New Roman" w:cs="Times New Roman"/>
          <w:sz w:val="20"/>
          <w:szCs w:val="20"/>
        </w:rPr>
        <w:t>.</w:t>
      </w:r>
    </w:p>
    <w:p w14:paraId="7360AD5E" w14:textId="53C4F0FE" w:rsidR="00D5512E" w:rsidRPr="00D5512E" w:rsidRDefault="00D5512E" w:rsidP="00D5512E">
      <w:pPr>
        <w:pStyle w:val="ListParagraph"/>
        <w:numPr>
          <w:ilvl w:val="0"/>
          <w:numId w:val="3"/>
        </w:numPr>
        <w:jc w:val="both"/>
        <w:rPr>
          <w:rFonts w:ascii="Times New Roman" w:hAnsi="Times New Roman" w:cs="Times New Roman"/>
          <w:sz w:val="20"/>
          <w:szCs w:val="20"/>
        </w:rPr>
      </w:pPr>
      <w:r w:rsidRPr="00D5512E">
        <w:rPr>
          <w:rFonts w:ascii="Times New Roman" w:hAnsi="Times New Roman" w:cs="Times New Roman"/>
          <w:sz w:val="20"/>
          <w:szCs w:val="20"/>
        </w:rPr>
        <w:t xml:space="preserve">Immediacy: In the proposed framework, feedback is provided immediately after the simulation (i.e., during debriefing). This shortens the delay between action and consequence, effectively “closing the loop” and correcting risky behaviors before they become habitual </w:t>
      </w:r>
      <w:r w:rsidR="00C248A7">
        <w:rPr>
          <w:rFonts w:ascii="Times New Roman" w:hAnsi="Times New Roman" w:cs="Times New Roman"/>
          <w:sz w:val="20"/>
          <w:szCs w:val="20"/>
        </w:rPr>
        <w:fldChar w:fldCharType="begin"/>
      </w:r>
      <w:r w:rsidR="00C248A7">
        <w:rPr>
          <w:rFonts w:ascii="Times New Roman" w:hAnsi="Times New Roman" w:cs="Times New Roman"/>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sidR="00C248A7">
        <w:rPr>
          <w:rFonts w:ascii="Times New Roman" w:hAnsi="Times New Roman" w:cs="Times New Roman"/>
          <w:sz w:val="20"/>
          <w:szCs w:val="20"/>
        </w:rPr>
        <w:fldChar w:fldCharType="separate"/>
      </w:r>
      <w:r w:rsidR="00C248A7">
        <w:rPr>
          <w:rFonts w:ascii="Times New Roman" w:hAnsi="Times New Roman" w:cs="Times New Roman"/>
          <w:noProof/>
          <w:sz w:val="20"/>
          <w:szCs w:val="20"/>
        </w:rPr>
        <w:t>[8]</w:t>
      </w:r>
      <w:r w:rsidR="00C248A7">
        <w:rPr>
          <w:rFonts w:ascii="Times New Roman" w:hAnsi="Times New Roman" w:cs="Times New Roman"/>
          <w:sz w:val="20"/>
          <w:szCs w:val="20"/>
        </w:rPr>
        <w:fldChar w:fldCharType="end"/>
      </w:r>
      <w:r w:rsidRPr="00D5512E">
        <w:rPr>
          <w:rFonts w:ascii="Times New Roman" w:hAnsi="Times New Roman" w:cs="Times New Roman"/>
          <w:sz w:val="20"/>
          <w:szCs w:val="20"/>
        </w:rPr>
        <w:t>.</w:t>
      </w:r>
    </w:p>
    <w:p w14:paraId="379C820B" w14:textId="5F3A4EEF" w:rsidR="005D630D" w:rsidRDefault="00D5512E" w:rsidP="00D5512E">
      <w:pPr>
        <w:pStyle w:val="ListParagraph"/>
        <w:numPr>
          <w:ilvl w:val="0"/>
          <w:numId w:val="3"/>
        </w:numPr>
        <w:jc w:val="both"/>
        <w:rPr>
          <w:rFonts w:ascii="Times New Roman" w:hAnsi="Times New Roman" w:cs="Times New Roman"/>
          <w:sz w:val="20"/>
          <w:szCs w:val="20"/>
        </w:rPr>
      </w:pPr>
      <w:r w:rsidRPr="00D5512E">
        <w:rPr>
          <w:rFonts w:ascii="Times New Roman" w:hAnsi="Times New Roman" w:cs="Times New Roman"/>
          <w:sz w:val="20"/>
          <w:szCs w:val="20"/>
        </w:rPr>
        <w:t xml:space="preserve">Specificity: Feedback focuses on observable behaviors (e.g., “You acknowledged the alarm within 3 seconds”) rather than general consequences and reinforces specific antecedents needed for safe performance </w:t>
      </w:r>
      <w:r w:rsidR="00C248A7">
        <w:rPr>
          <w:rFonts w:ascii="Times New Roman" w:hAnsi="Times New Roman" w:cs="Times New Roman"/>
          <w:sz w:val="20"/>
          <w:szCs w:val="20"/>
        </w:rPr>
        <w:fldChar w:fldCharType="begin"/>
      </w:r>
      <w:r w:rsidR="00C248A7">
        <w:rPr>
          <w:rFonts w:ascii="Times New Roman" w:hAnsi="Times New Roman" w:cs="Times New Roman"/>
          <w:sz w:val="20"/>
          <w:szCs w:val="20"/>
        </w:rPr>
        <w:instrText xml:space="preserve"> ADDIN EN.CITE &lt;EndNote&gt;&lt;Cite&gt;&lt;Author&gt;Spigener&lt;/Author&gt;&lt;Year&gt;2022&lt;/Year&gt;&lt;RecNum&gt;8&lt;/RecNum&gt;&lt;DisplayText&gt;[7]&lt;/DisplayText&gt;&lt;record&gt;&lt;rec-number&gt;8&lt;/rec-number&gt;&lt;foreign-keys&gt;&lt;key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sidR="00C248A7">
        <w:rPr>
          <w:rFonts w:ascii="Times New Roman" w:hAnsi="Times New Roman" w:cs="Times New Roman"/>
          <w:sz w:val="20"/>
          <w:szCs w:val="20"/>
        </w:rPr>
        <w:fldChar w:fldCharType="separate"/>
      </w:r>
      <w:r w:rsidR="00C248A7">
        <w:rPr>
          <w:rFonts w:ascii="Times New Roman" w:hAnsi="Times New Roman" w:cs="Times New Roman"/>
          <w:noProof/>
          <w:sz w:val="20"/>
          <w:szCs w:val="20"/>
        </w:rPr>
        <w:t>[7]</w:t>
      </w:r>
      <w:r w:rsidR="00C248A7">
        <w:rPr>
          <w:rFonts w:ascii="Times New Roman" w:hAnsi="Times New Roman" w:cs="Times New Roman"/>
          <w:sz w:val="20"/>
          <w:szCs w:val="20"/>
        </w:rPr>
        <w:fldChar w:fldCharType="end"/>
      </w:r>
      <w:r w:rsidRPr="00D5512E">
        <w:rPr>
          <w:rFonts w:ascii="Times New Roman" w:hAnsi="Times New Roman" w:cs="Times New Roman"/>
          <w:sz w:val="20"/>
          <w:szCs w:val="20"/>
        </w:rPr>
        <w:t>.</w:t>
      </w:r>
    </w:p>
    <w:p w14:paraId="71D435CA" w14:textId="25C31E5B" w:rsidR="00E315B4" w:rsidRPr="008209FC" w:rsidRDefault="008209FC" w:rsidP="00E315B4">
      <w:pPr>
        <w:jc w:val="both"/>
        <w:rPr>
          <w:rFonts w:ascii="Times New Roman" w:hAnsi="Times New Roman" w:cs="Times New Roman"/>
          <w:sz w:val="20"/>
          <w:szCs w:val="20"/>
        </w:rPr>
      </w:pPr>
      <w:r w:rsidRPr="008209FC">
        <w:rPr>
          <w:rFonts w:ascii="Times New Roman" w:hAnsi="Times New Roman" w:cs="Times New Roman"/>
          <w:sz w:val="20"/>
          <w:szCs w:val="20"/>
        </w:rPr>
        <w:lastRenderedPageBreak/>
        <w:t xml:space="preserve">3.8. </w:t>
      </w:r>
      <w:r w:rsidR="00E315B4" w:rsidRPr="008209FC">
        <w:rPr>
          <w:rFonts w:ascii="Times New Roman" w:hAnsi="Times New Roman" w:cs="Times New Roman"/>
          <w:sz w:val="20"/>
          <w:szCs w:val="20"/>
        </w:rPr>
        <w:t>Outcomes: From Compliance to Adaptive Capacity</w:t>
      </w:r>
    </w:p>
    <w:p w14:paraId="14EC0475" w14:textId="19469F20" w:rsidR="00E315B4" w:rsidRPr="00E315B4" w:rsidRDefault="00E315B4" w:rsidP="00E315B4">
      <w:pPr>
        <w:jc w:val="both"/>
        <w:rPr>
          <w:rFonts w:ascii="Times New Roman" w:hAnsi="Times New Roman" w:cs="Times New Roman"/>
          <w:sz w:val="20"/>
          <w:szCs w:val="20"/>
        </w:rPr>
      </w:pPr>
      <w:r w:rsidRPr="00E315B4">
        <w:rPr>
          <w:rFonts w:ascii="Times New Roman" w:hAnsi="Times New Roman" w:cs="Times New Roman"/>
          <w:sz w:val="20"/>
          <w:szCs w:val="20"/>
        </w:rPr>
        <w:t xml:space="preserve">The outcome of this framework is not simply a reduction in accident rates, but rather an increase in organizational </w:t>
      </w:r>
      <w:r w:rsidR="00C5054C">
        <w:rPr>
          <w:rFonts w:ascii="Times New Roman" w:hAnsi="Times New Roman" w:cs="Times New Roman"/>
          <w:sz w:val="20"/>
          <w:szCs w:val="20"/>
        </w:rPr>
        <w:t>antifragility</w:t>
      </w:r>
      <w:r w:rsidRPr="00E315B4">
        <w:rPr>
          <w:rFonts w:ascii="Times New Roman" w:hAnsi="Times New Roman" w:cs="Times New Roman"/>
          <w:sz w:val="20"/>
          <w:szCs w:val="20"/>
        </w:rPr>
        <w:t>.</w:t>
      </w:r>
    </w:p>
    <w:p w14:paraId="1A07E3CC" w14:textId="2EACFB9E" w:rsidR="00E315B4" w:rsidRPr="00E315B4" w:rsidRDefault="00E315B4" w:rsidP="00E315B4">
      <w:pPr>
        <w:pStyle w:val="ListParagraph"/>
        <w:numPr>
          <w:ilvl w:val="0"/>
          <w:numId w:val="4"/>
        </w:numPr>
        <w:jc w:val="both"/>
        <w:rPr>
          <w:rFonts w:ascii="Times New Roman" w:hAnsi="Times New Roman" w:cs="Times New Roman"/>
          <w:sz w:val="20"/>
          <w:szCs w:val="20"/>
        </w:rPr>
      </w:pPr>
      <w:r w:rsidRPr="00E315B4">
        <w:rPr>
          <w:rFonts w:ascii="Times New Roman" w:hAnsi="Times New Roman" w:cs="Times New Roman"/>
          <w:sz w:val="20"/>
          <w:szCs w:val="20"/>
        </w:rPr>
        <w:t xml:space="preserve">Adaptive competence: Operators develop the ability to navigate unforeseen situations, which is a key feature of Safety-II </w:t>
      </w:r>
      <w:r w:rsidR="00567FAB">
        <w:rPr>
          <w:rFonts w:ascii="Times New Roman" w:hAnsi="Times New Roman" w:cs="Times New Roman"/>
          <w:sz w:val="20"/>
          <w:szCs w:val="20"/>
        </w:rPr>
        <w:fldChar w:fldCharType="begin"/>
      </w:r>
      <w:r w:rsidR="00567FAB">
        <w:rPr>
          <w:rFonts w:ascii="Times New Roman" w:hAnsi="Times New Roman" w:cs="Times New Roman"/>
          <w:sz w:val="20"/>
          <w:szCs w:val="20"/>
        </w:rPr>
        <w:instrText xml:space="preserve"> ADDIN EN.CITE &lt;EndNote&gt;&lt;Cite&gt;&lt;Author&gt;Ham&lt;/Author&gt;&lt;Year&gt;2021&lt;/Year&gt;&lt;RecNum&gt;3&lt;/RecNum&gt;&lt;DisplayText&gt;[2]&lt;/DisplayText&gt;&lt;record&gt;&lt;rec-number&gt;3&lt;/rec-number&gt;&lt;foreign-keys&gt;&lt;key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EndNote&gt;</w:instrText>
      </w:r>
      <w:r w:rsidR="00567FAB">
        <w:rPr>
          <w:rFonts w:ascii="Times New Roman" w:hAnsi="Times New Roman" w:cs="Times New Roman"/>
          <w:sz w:val="20"/>
          <w:szCs w:val="20"/>
        </w:rPr>
        <w:fldChar w:fldCharType="separate"/>
      </w:r>
      <w:r w:rsidR="00567FAB">
        <w:rPr>
          <w:rFonts w:ascii="Times New Roman" w:hAnsi="Times New Roman" w:cs="Times New Roman"/>
          <w:noProof/>
          <w:sz w:val="20"/>
          <w:szCs w:val="20"/>
        </w:rPr>
        <w:t>[2]</w:t>
      </w:r>
      <w:r w:rsidR="00567FAB">
        <w:rPr>
          <w:rFonts w:ascii="Times New Roman" w:hAnsi="Times New Roman" w:cs="Times New Roman"/>
          <w:sz w:val="20"/>
          <w:szCs w:val="20"/>
        </w:rPr>
        <w:fldChar w:fldCharType="end"/>
      </w:r>
      <w:r w:rsidRPr="00E315B4">
        <w:rPr>
          <w:rFonts w:ascii="Times New Roman" w:hAnsi="Times New Roman" w:cs="Times New Roman"/>
          <w:sz w:val="20"/>
          <w:szCs w:val="20"/>
        </w:rPr>
        <w:t>.</w:t>
      </w:r>
    </w:p>
    <w:p w14:paraId="09BE45C7" w14:textId="45E6B434" w:rsidR="00E315B4" w:rsidRDefault="00E315B4" w:rsidP="00E315B4">
      <w:pPr>
        <w:pStyle w:val="ListParagraph"/>
        <w:numPr>
          <w:ilvl w:val="0"/>
          <w:numId w:val="4"/>
        </w:numPr>
        <w:jc w:val="both"/>
        <w:rPr>
          <w:rFonts w:ascii="Times New Roman" w:hAnsi="Times New Roman" w:cs="Times New Roman"/>
          <w:sz w:val="20"/>
          <w:szCs w:val="20"/>
        </w:rPr>
      </w:pPr>
      <w:r w:rsidRPr="00E315B4">
        <w:rPr>
          <w:rFonts w:ascii="Times New Roman" w:hAnsi="Times New Roman" w:cs="Times New Roman"/>
          <w:sz w:val="20"/>
          <w:szCs w:val="20"/>
        </w:rPr>
        <w:t xml:space="preserve">Measurable </w:t>
      </w:r>
      <w:r w:rsidR="00E66A6A">
        <w:rPr>
          <w:rFonts w:ascii="Times New Roman" w:hAnsi="Times New Roman" w:cs="Times New Roman"/>
          <w:sz w:val="20"/>
          <w:szCs w:val="20"/>
        </w:rPr>
        <w:t>Anti</w:t>
      </w:r>
      <w:r w:rsidR="00E02896">
        <w:rPr>
          <w:rFonts w:ascii="Times New Roman" w:hAnsi="Times New Roman" w:cs="Times New Roman"/>
          <w:sz w:val="20"/>
          <w:szCs w:val="20"/>
        </w:rPr>
        <w:t>fragility</w:t>
      </w:r>
      <w:r w:rsidRPr="00E315B4">
        <w:rPr>
          <w:rFonts w:ascii="Times New Roman" w:hAnsi="Times New Roman" w:cs="Times New Roman"/>
          <w:sz w:val="20"/>
          <w:szCs w:val="20"/>
        </w:rPr>
        <w:t xml:space="preserve">: In contrast to traditional lagging indicators (e.g., lost-time injuries), the success of this framework is measured by leading indicators such as “scenario resolution time” and “quality of decision-making under pressure.” Recent literature on assessing </w:t>
      </w:r>
      <w:r w:rsidR="00E02896">
        <w:rPr>
          <w:rFonts w:ascii="Times New Roman" w:hAnsi="Times New Roman" w:cs="Times New Roman"/>
          <w:sz w:val="20"/>
          <w:szCs w:val="20"/>
        </w:rPr>
        <w:t>antifragility</w:t>
      </w:r>
      <w:r w:rsidRPr="00E315B4">
        <w:rPr>
          <w:rFonts w:ascii="Times New Roman" w:hAnsi="Times New Roman" w:cs="Times New Roman"/>
          <w:sz w:val="20"/>
          <w:szCs w:val="20"/>
        </w:rPr>
        <w:t xml:space="preserve"> in process industries highlights the need to shift from static reliability metrics to dynamic indicators of adaptive capacity </w:t>
      </w:r>
      <w:r w:rsidR="00567FAB">
        <w:rPr>
          <w:rFonts w:ascii="Times New Roman" w:hAnsi="Times New Roman" w:cs="Times New Roman"/>
          <w:sz w:val="20"/>
          <w:szCs w:val="20"/>
        </w:rPr>
        <w:fldChar w:fldCharType="begin"/>
      </w:r>
      <w:r w:rsidR="00567FAB">
        <w:rPr>
          <w:rFonts w:ascii="Times New Roman" w:hAnsi="Times New Roman" w:cs="Times New Roman"/>
          <w:sz w:val="20"/>
          <w:szCs w:val="20"/>
        </w:rPr>
        <w:instrText xml:space="preserve"> ADDIN EN.CITE &lt;EndNote&gt;&lt;Cite&gt;&lt;Author&gt;Ghaljahi&lt;/Author&gt;&lt;Year&gt;2025&lt;/Year&gt;&lt;RecNum&gt;15&lt;/RecNum&gt;&lt;DisplayText&gt;[14]&lt;/DisplayText&gt;&lt;record&gt;&lt;rec-number&gt;15&lt;/rec-number&gt;&lt;foreign-keys&gt;&lt;key app="EN" db-id="dz0tx9r22vexwlee5zcv2d92r92sp99dxwfv" timestamp="1767964161"&gt;15&lt;/key&gt;&lt;/foreign-keys&gt;&lt;ref-type name="Journal Article"&gt;17&lt;/ref-type&gt;&lt;contributors&gt;&lt;authors&gt;&lt;author&gt;Ghaljahi, Maryam&lt;/author&gt;&lt;author&gt;Omidi, Leila&lt;/author&gt;&lt;author&gt;Karimi, Ali&lt;/author&gt;&lt;/authors&gt;&lt;/contributors&gt;&lt;titles&gt;&lt;title&gt;Resilience assessment in process industries: A review of literature&lt;/title&gt;&lt;secondary-title&gt;Heliyon&lt;/secondary-title&gt;&lt;/titles&gt;&lt;periodical&gt;&lt;full-title&gt;Heliyon&lt;/full-title&gt;&lt;/periodical&gt;&lt;volume&gt;11&lt;/volume&gt;&lt;number&gt;4&lt;/number&gt;&lt;dates&gt;&lt;year&gt;2025&lt;/year&gt;&lt;/dates&gt;&lt;isbn&gt;2405-8440&lt;/isbn&gt;&lt;urls&gt;&lt;/urls&gt;&lt;/record&gt;&lt;/Cite&gt;&lt;/EndNote&gt;</w:instrText>
      </w:r>
      <w:r w:rsidR="00567FAB">
        <w:rPr>
          <w:rFonts w:ascii="Times New Roman" w:hAnsi="Times New Roman" w:cs="Times New Roman"/>
          <w:sz w:val="20"/>
          <w:szCs w:val="20"/>
        </w:rPr>
        <w:fldChar w:fldCharType="separate"/>
      </w:r>
      <w:r w:rsidR="00567FAB">
        <w:rPr>
          <w:rFonts w:ascii="Times New Roman" w:hAnsi="Times New Roman" w:cs="Times New Roman"/>
          <w:noProof/>
          <w:sz w:val="20"/>
          <w:szCs w:val="20"/>
        </w:rPr>
        <w:t>[14]</w:t>
      </w:r>
      <w:r w:rsidR="00567FAB">
        <w:rPr>
          <w:rFonts w:ascii="Times New Roman" w:hAnsi="Times New Roman" w:cs="Times New Roman"/>
          <w:sz w:val="20"/>
          <w:szCs w:val="20"/>
        </w:rPr>
        <w:fldChar w:fldCharType="end"/>
      </w:r>
      <w:r w:rsidRPr="00E315B4">
        <w:rPr>
          <w:rFonts w:ascii="Times New Roman" w:hAnsi="Times New Roman" w:cs="Times New Roman"/>
          <w:sz w:val="20"/>
          <w:szCs w:val="20"/>
        </w:rPr>
        <w:t>.</w:t>
      </w:r>
    </w:p>
    <w:p w14:paraId="21A00F19" w14:textId="37474316" w:rsidR="002B25C4" w:rsidRPr="002C6F09" w:rsidRDefault="00D2745A" w:rsidP="002B25C4">
      <w:pPr>
        <w:jc w:val="both"/>
        <w:rPr>
          <w:rFonts w:ascii="Times New Roman" w:hAnsi="Times New Roman" w:cs="Times New Roman"/>
          <w:b/>
          <w:bCs/>
          <w:sz w:val="22"/>
          <w:szCs w:val="22"/>
        </w:rPr>
      </w:pPr>
      <w:r w:rsidRPr="002C6F09">
        <w:rPr>
          <w:rFonts w:ascii="Times New Roman" w:eastAsia="Times New Roman" w:hAnsi="Times New Roman" w:cs="Traditional Arabic"/>
          <w:b/>
          <w:bCs/>
          <w:noProof/>
          <w:kern w:val="0"/>
          <w:sz w:val="22"/>
          <w:szCs w:val="22"/>
          <w14:ligatures w14:val="none"/>
        </w:rPr>
        <w:t xml:space="preserve">4. </w:t>
      </w:r>
      <w:r w:rsidR="004A73FD" w:rsidRPr="002C6F09">
        <w:rPr>
          <w:rFonts w:ascii="Times New Roman" w:eastAsia="Times New Roman" w:hAnsi="Times New Roman" w:cs="Traditional Arabic"/>
          <w:b/>
          <w:bCs/>
          <w:noProof/>
          <w:kern w:val="0"/>
          <w:sz w:val="22"/>
          <w:szCs w:val="22"/>
          <w14:ligatures w14:val="none"/>
        </w:rPr>
        <w:t xml:space="preserve">Results </w:t>
      </w:r>
      <w:r w:rsidR="002B25C4" w:rsidRPr="002C6F09">
        <w:rPr>
          <w:rFonts w:ascii="Times New Roman" w:hAnsi="Times New Roman" w:cs="Times New Roman"/>
          <w:b/>
          <w:bCs/>
          <w:sz w:val="22"/>
          <w:szCs w:val="22"/>
        </w:rPr>
        <w:t>Discussion</w:t>
      </w:r>
    </w:p>
    <w:p w14:paraId="577E8A33" w14:textId="3669B53E" w:rsidR="002B25C4" w:rsidRDefault="002B25C4" w:rsidP="002B25C4">
      <w:pPr>
        <w:jc w:val="both"/>
        <w:rPr>
          <w:rFonts w:ascii="Times New Roman" w:hAnsi="Times New Roman" w:cs="Times New Roman"/>
          <w:sz w:val="20"/>
          <w:szCs w:val="20"/>
        </w:rPr>
      </w:pPr>
      <w:r w:rsidRPr="002B25C4">
        <w:rPr>
          <w:rFonts w:ascii="Times New Roman" w:hAnsi="Times New Roman" w:cs="Times New Roman"/>
          <w:sz w:val="20"/>
          <w:szCs w:val="20"/>
        </w:rPr>
        <w:t>Implementing the proposed antifragility training framework requires a fundamental restructuring of how safety data is used in high-hazard process industries (HHPI</w:t>
      </w:r>
      <w:r w:rsidR="00117EF1">
        <w:rPr>
          <w:rFonts w:ascii="Times New Roman" w:hAnsi="Times New Roman" w:cs="Times New Roman"/>
          <w:sz w:val="20"/>
          <w:szCs w:val="20"/>
        </w:rPr>
        <w:t>s</w:t>
      </w:r>
      <w:r w:rsidRPr="002B25C4">
        <w:rPr>
          <w:rFonts w:ascii="Times New Roman" w:hAnsi="Times New Roman" w:cs="Times New Roman"/>
          <w:sz w:val="20"/>
          <w:szCs w:val="20"/>
        </w:rPr>
        <w:t xml:space="preserve">). Unlike traditional Safety-I models that aim to constrain performance within predefined standards, this framework leverages the Safety-II principle that variability is a source of learning, not a threat to be suppressed </w:t>
      </w:r>
      <w:r w:rsidR="0079685A">
        <w:rPr>
          <w:rFonts w:ascii="Times New Roman" w:hAnsi="Times New Roman" w:cs="Times New Roman"/>
          <w:sz w:val="20"/>
          <w:szCs w:val="20"/>
        </w:rPr>
        <w:fldChar w:fldCharType="begin"/>
      </w:r>
      <w:r w:rsidR="0079685A">
        <w:rPr>
          <w:rFonts w:ascii="Times New Roman" w:hAnsi="Times New Roman" w:cs="Times New Roman"/>
          <w:sz w:val="20"/>
          <w:szCs w:val="20"/>
        </w:rPr>
        <w:instrText xml:space="preserve"> ADDIN EN.CITE &lt;EndNote&gt;&lt;Cite&gt;&lt;Author&gt;Ham&lt;/Author&gt;&lt;Year&gt;2021&lt;/Year&gt;&lt;RecNum&gt;3&lt;/RecNum&gt;&lt;DisplayText&gt;[2, 4]&lt;/DisplayText&gt;&lt;record&gt;&lt;rec-number&gt;3&lt;/rec-number&gt;&lt;foreign-keys&gt;&lt;key app="EN" db-id="dz0tx9r22vexwlee5zcv2d92r92sp99dxwfv" timestamp="1766497110"&gt;3&lt;/key&gt;&lt;/foreign-keys&gt;&lt;ref-type name="Journal Article"&gt;17&lt;/ref-type&gt;&lt;contributors&gt;&lt;authors&gt;&lt;author&gt;Ham, Dong-Han&lt;/author&gt;&lt;/authors&gt;&lt;/contributors&gt;&lt;titles&gt;&lt;title&gt;Safety-II and resilience engineering in a nutshell: an introductory guide to their concepts and methods&lt;/title&gt;&lt;secondary-title&gt;Safety and health at work&lt;/secondary-title&gt;&lt;/titles&gt;&lt;periodical&gt;&lt;full-title&gt;Safety and health at work&lt;/full-title&gt;&lt;/periodical&gt;&lt;pages&gt;10-19&lt;/pages&gt;&lt;volume&gt;12&lt;/volume&gt;&lt;number&gt;1&lt;/number&gt;&lt;dates&gt;&lt;year&gt;2021&lt;/year&gt;&lt;/dates&gt;&lt;isbn&gt;2093-7911&lt;/isbn&gt;&lt;urls&gt;&lt;/urls&gt;&lt;/record&gt;&lt;/Cite&gt;&lt;Cite&gt;&lt;Author&gt;De Leo&lt;/Author&gt;&lt;Year&gt;2023&lt;/Year&gt;&lt;RecNum&gt;5&lt;/RecNum&gt;&lt;record&gt;&lt;rec-number&gt;5&lt;/rec-number&gt;&lt;foreign-keys&gt;&lt;key app="EN" db-id="dz0tx9r22vexwlee5zcv2d92r92sp99dxwfv" timestamp="1766497983"&gt;5&lt;/key&gt;&lt;/foreign-keys&gt;&lt;ref-type name="Journal Article"&gt;17&lt;/ref-type&gt;&lt;contributors&gt;&lt;authors&gt;&lt;author&gt;De Leo, Federica&lt;/author&gt;&lt;author&gt;Elia, Valerio&lt;/author&gt;&lt;author&gt;Gnoni, Maria Grazia&lt;/author&gt;&lt;author&gt;Tornese, Fabiana&lt;/author&gt;&lt;/authors&gt;&lt;/contributors&gt;&lt;titles&gt;&lt;title&gt;Integrating safety-I and safety-II approaches in near miss management: A critical analysis&lt;/title&gt;&lt;secondary-title&gt;Sustainability&lt;/secondary-title&gt;&lt;/titles&gt;&lt;periodical&gt;&lt;full-title&gt;Sustainability&lt;/full-title&gt;&lt;/periodical&gt;&lt;pages&gt;2130&lt;/pages&gt;&lt;volume&gt;15&lt;/volume&gt;&lt;number&gt;3&lt;/number&gt;&lt;dates&gt;&lt;year&gt;2023&lt;/year&gt;&lt;/dates&gt;&lt;isbn&gt;2071-1050&lt;/isbn&gt;&lt;urls&gt;&lt;/urls&gt;&lt;/record&gt;&lt;/Cite&gt;&lt;/EndNote&gt;</w:instrText>
      </w:r>
      <w:r w:rsidR="0079685A">
        <w:rPr>
          <w:rFonts w:ascii="Times New Roman" w:hAnsi="Times New Roman" w:cs="Times New Roman"/>
          <w:sz w:val="20"/>
          <w:szCs w:val="20"/>
        </w:rPr>
        <w:fldChar w:fldCharType="separate"/>
      </w:r>
      <w:r w:rsidR="0079685A">
        <w:rPr>
          <w:rFonts w:ascii="Times New Roman" w:hAnsi="Times New Roman" w:cs="Times New Roman"/>
          <w:noProof/>
          <w:sz w:val="20"/>
          <w:szCs w:val="20"/>
        </w:rPr>
        <w:t>[2, 4]</w:t>
      </w:r>
      <w:r w:rsidR="0079685A">
        <w:rPr>
          <w:rFonts w:ascii="Times New Roman" w:hAnsi="Times New Roman" w:cs="Times New Roman"/>
          <w:sz w:val="20"/>
          <w:szCs w:val="20"/>
        </w:rPr>
        <w:fldChar w:fldCharType="end"/>
      </w:r>
      <w:r w:rsidRPr="002B25C4">
        <w:rPr>
          <w:rFonts w:ascii="Times New Roman" w:hAnsi="Times New Roman" w:cs="Times New Roman"/>
          <w:sz w:val="20"/>
          <w:szCs w:val="20"/>
        </w:rPr>
        <w:t>. The resulting architectural change and its determinants are summarized in Table 2.</w:t>
      </w:r>
    </w:p>
    <w:p w14:paraId="2ACB9224" w14:textId="77777777" w:rsidR="00F23D59" w:rsidRDefault="00F23D59" w:rsidP="002B25C4">
      <w:pPr>
        <w:jc w:val="both"/>
        <w:rPr>
          <w:rFonts w:ascii="Times New Roman" w:hAnsi="Times New Roman" w:cs="Times New Roman"/>
          <w:sz w:val="20"/>
          <w:szCs w:val="20"/>
          <w:rtl/>
        </w:rPr>
      </w:pPr>
    </w:p>
    <w:p w14:paraId="55E7113A" w14:textId="2C2D60B1" w:rsidR="007720C6" w:rsidRPr="00EB5845" w:rsidRDefault="007720C6" w:rsidP="00D81899">
      <w:pPr>
        <w:pStyle w:val="Caption"/>
        <w:keepNext/>
        <w:jc w:val="center"/>
        <w:rPr>
          <w:rFonts w:ascii="Times New Roman" w:hAnsi="Times New Roman" w:cs="Times New Roman"/>
          <w:b/>
          <w:bCs/>
          <w:i w:val="0"/>
          <w:iCs w:val="0"/>
          <w:color w:val="000000" w:themeColor="text1"/>
        </w:rPr>
      </w:pPr>
      <w:r w:rsidRPr="00EB5845">
        <w:rPr>
          <w:rFonts w:ascii="Times New Roman" w:hAnsi="Times New Roman" w:cs="Times New Roman"/>
          <w:b/>
          <w:bCs/>
          <w:i w:val="0"/>
          <w:iCs w:val="0"/>
          <w:color w:val="000000" w:themeColor="text1"/>
        </w:rPr>
        <w:t xml:space="preserve">Table </w:t>
      </w:r>
      <w:r w:rsidRPr="00EB5845">
        <w:rPr>
          <w:rFonts w:ascii="Times New Roman" w:hAnsi="Times New Roman" w:cs="Times New Roman"/>
          <w:b/>
          <w:bCs/>
          <w:i w:val="0"/>
          <w:iCs w:val="0"/>
          <w:color w:val="000000" w:themeColor="text1"/>
        </w:rPr>
        <w:fldChar w:fldCharType="begin"/>
      </w:r>
      <w:r w:rsidRPr="00EB5845">
        <w:rPr>
          <w:rFonts w:ascii="Times New Roman" w:hAnsi="Times New Roman" w:cs="Times New Roman"/>
          <w:b/>
          <w:bCs/>
          <w:i w:val="0"/>
          <w:iCs w:val="0"/>
          <w:color w:val="000000" w:themeColor="text1"/>
        </w:rPr>
        <w:instrText xml:space="preserve"> SEQ Table \* ARABIC </w:instrText>
      </w:r>
      <w:r w:rsidRPr="00EB5845">
        <w:rPr>
          <w:rFonts w:ascii="Times New Roman" w:hAnsi="Times New Roman" w:cs="Times New Roman"/>
          <w:b/>
          <w:bCs/>
          <w:i w:val="0"/>
          <w:iCs w:val="0"/>
          <w:color w:val="000000" w:themeColor="text1"/>
        </w:rPr>
        <w:fldChar w:fldCharType="separate"/>
      </w:r>
      <w:r w:rsidRPr="00EB5845">
        <w:rPr>
          <w:rFonts w:ascii="Times New Roman" w:hAnsi="Times New Roman" w:cs="Times New Roman"/>
          <w:b/>
          <w:bCs/>
          <w:i w:val="0"/>
          <w:iCs w:val="0"/>
          <w:noProof/>
          <w:color w:val="000000" w:themeColor="text1"/>
        </w:rPr>
        <w:t>2</w:t>
      </w:r>
      <w:r w:rsidRPr="00EB5845">
        <w:rPr>
          <w:rFonts w:ascii="Times New Roman" w:hAnsi="Times New Roman" w:cs="Times New Roman"/>
          <w:b/>
          <w:bCs/>
          <w:i w:val="0"/>
          <w:iCs w:val="0"/>
          <w:color w:val="000000" w:themeColor="text1"/>
        </w:rPr>
        <w:fldChar w:fldCharType="end"/>
      </w:r>
      <w:r w:rsidR="00D02133">
        <w:rPr>
          <w:rFonts w:ascii="Times New Roman" w:hAnsi="Times New Roman" w:cs="Times New Roman"/>
          <w:b/>
          <w:bCs/>
          <w:i w:val="0"/>
          <w:iCs w:val="0"/>
          <w:color w:val="000000" w:themeColor="text1"/>
        </w:rPr>
        <w:t>-</w:t>
      </w:r>
      <w:r w:rsidRPr="00EB5845">
        <w:rPr>
          <w:rFonts w:ascii="Times New Roman" w:hAnsi="Times New Roman" w:cs="Times New Roman"/>
          <w:b/>
          <w:bCs/>
          <w:i w:val="0"/>
          <w:iCs w:val="0"/>
          <w:color w:val="000000" w:themeColor="text1"/>
        </w:rPr>
        <w:t>Determining factors and causal mechanisms of the proposed antifragile training framework</w:t>
      </w:r>
    </w:p>
    <w:tbl>
      <w:tblPr>
        <w:tblStyle w:val="PlainTable2"/>
        <w:tblW w:w="0" w:type="auto"/>
        <w:tblLook w:val="04A0" w:firstRow="1" w:lastRow="0" w:firstColumn="1" w:lastColumn="0" w:noHBand="0" w:noVBand="1"/>
      </w:tblPr>
      <w:tblGrid>
        <w:gridCol w:w="2337"/>
        <w:gridCol w:w="2337"/>
        <w:gridCol w:w="2338"/>
        <w:gridCol w:w="2338"/>
      </w:tblGrid>
      <w:tr w:rsidR="009915AA" w14:paraId="7F002D97" w14:textId="77777777" w:rsidTr="00E24E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277C39A9" w14:textId="0DE45B45" w:rsidR="009915AA" w:rsidRDefault="006F6409" w:rsidP="000D4F88">
            <w:pPr>
              <w:jc w:val="center"/>
              <w:rPr>
                <w:rFonts w:ascii="Times New Roman" w:hAnsi="Times New Roman" w:cs="Times New Roman"/>
                <w:sz w:val="20"/>
                <w:szCs w:val="20"/>
              </w:rPr>
            </w:pPr>
            <w:r w:rsidRPr="006F6409">
              <w:rPr>
                <w:rFonts w:ascii="Times New Roman" w:hAnsi="Times New Roman" w:cs="Times New Roman"/>
                <w:sz w:val="20"/>
                <w:szCs w:val="20"/>
              </w:rPr>
              <w:t>Framework Component</w:t>
            </w:r>
          </w:p>
        </w:tc>
        <w:tc>
          <w:tcPr>
            <w:tcW w:w="2337" w:type="dxa"/>
          </w:tcPr>
          <w:p w14:paraId="63BCCD1A" w14:textId="2D7F03C0" w:rsidR="009915AA" w:rsidRDefault="006F6409" w:rsidP="000D4F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F6409">
              <w:rPr>
                <w:rFonts w:ascii="Times New Roman" w:hAnsi="Times New Roman" w:cs="Times New Roman"/>
                <w:sz w:val="20"/>
                <w:szCs w:val="20"/>
              </w:rPr>
              <w:t>Input</w:t>
            </w:r>
            <w:r>
              <w:rPr>
                <w:rFonts w:ascii="Times New Roman" w:hAnsi="Times New Roman" w:cs="Times New Roman" w:hint="cs"/>
                <w:sz w:val="20"/>
                <w:szCs w:val="20"/>
                <w:rtl/>
              </w:rPr>
              <w:t xml:space="preserve"> </w:t>
            </w:r>
            <w:r w:rsidRPr="006F6409">
              <w:rPr>
                <w:rFonts w:ascii="Times New Roman" w:hAnsi="Times New Roman" w:cs="Times New Roman"/>
                <w:sz w:val="20"/>
                <w:szCs w:val="20"/>
              </w:rPr>
              <w:t>Antecedents</w:t>
            </w:r>
            <w:r>
              <w:rPr>
                <w:rFonts w:ascii="Times New Roman" w:hAnsi="Times New Roman" w:cs="Times New Roman" w:hint="cs"/>
                <w:sz w:val="20"/>
                <w:szCs w:val="20"/>
                <w:rtl/>
              </w:rPr>
              <w:t xml:space="preserve"> </w:t>
            </w:r>
            <w:r w:rsidRPr="006F6409">
              <w:rPr>
                <w:rFonts w:ascii="Times New Roman" w:hAnsi="Times New Roman" w:cs="Times New Roman"/>
                <w:sz w:val="20"/>
                <w:szCs w:val="20"/>
              </w:rPr>
              <w:t>(Enabling Factors)</w:t>
            </w:r>
          </w:p>
        </w:tc>
        <w:tc>
          <w:tcPr>
            <w:tcW w:w="2338" w:type="dxa"/>
          </w:tcPr>
          <w:p w14:paraId="5D154DF0" w14:textId="372670D3" w:rsidR="009915AA" w:rsidRDefault="000D4F88" w:rsidP="000D4F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D4F88">
              <w:rPr>
                <w:rFonts w:ascii="Times New Roman" w:hAnsi="Times New Roman" w:cs="Times New Roman"/>
                <w:sz w:val="20"/>
                <w:szCs w:val="20"/>
              </w:rPr>
              <w:t>Transformation Mechanism (Process)</w:t>
            </w:r>
          </w:p>
        </w:tc>
        <w:tc>
          <w:tcPr>
            <w:tcW w:w="2338" w:type="dxa"/>
          </w:tcPr>
          <w:p w14:paraId="155BD4D2" w14:textId="7577EEAA" w:rsidR="009915AA" w:rsidRDefault="000D4F88" w:rsidP="000D4F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D4F88">
              <w:rPr>
                <w:rFonts w:ascii="Times New Roman" w:hAnsi="Times New Roman" w:cs="Times New Roman"/>
                <w:sz w:val="20"/>
                <w:szCs w:val="20"/>
              </w:rPr>
              <w:t>Output Consequences (Targeted Outcomes)</w:t>
            </w:r>
          </w:p>
        </w:tc>
      </w:tr>
      <w:tr w:rsidR="00F32DF4" w14:paraId="1E8AD960" w14:textId="77777777" w:rsidTr="00E24E1B">
        <w:trPr>
          <w:cnfStyle w:val="000000100000" w:firstRow="0" w:lastRow="0" w:firstColumn="0" w:lastColumn="0" w:oddVBand="0" w:evenVBand="0" w:oddHBand="1" w:evenHBand="0" w:firstRowFirstColumn="0" w:firstRowLastColumn="0" w:lastRowFirstColumn="0" w:lastRowLastColumn="0"/>
          <w:trHeight w:val="1620"/>
        </w:trPr>
        <w:tc>
          <w:tcPr>
            <w:cnfStyle w:val="001000000000" w:firstRow="0" w:lastRow="0" w:firstColumn="1" w:lastColumn="0" w:oddVBand="0" w:evenVBand="0" w:oddHBand="0" w:evenHBand="0" w:firstRowFirstColumn="0" w:firstRowLastColumn="0" w:lastRowFirstColumn="0" w:lastRowLastColumn="0"/>
            <w:tcW w:w="2337" w:type="dxa"/>
          </w:tcPr>
          <w:p w14:paraId="44E1E7A0" w14:textId="32024402" w:rsidR="00F32DF4" w:rsidRDefault="00F32DF4" w:rsidP="00550DF6">
            <w:pPr>
              <w:jc w:val="center"/>
              <w:rPr>
                <w:rFonts w:ascii="Times New Roman" w:hAnsi="Times New Roman" w:cs="Times New Roman"/>
                <w:sz w:val="20"/>
                <w:szCs w:val="20"/>
              </w:rPr>
            </w:pPr>
            <w:r w:rsidRPr="00550DF6">
              <w:rPr>
                <w:rFonts w:ascii="Times New Roman" w:hAnsi="Times New Roman" w:cs="Times New Roman"/>
                <w:sz w:val="20"/>
                <w:szCs w:val="20"/>
              </w:rPr>
              <w:t>1. Near-Miss Learning</w:t>
            </w:r>
          </w:p>
        </w:tc>
        <w:tc>
          <w:tcPr>
            <w:tcW w:w="2337" w:type="dxa"/>
          </w:tcPr>
          <w:p w14:paraId="61166492" w14:textId="2B479610" w:rsidR="00F32DF4" w:rsidRDefault="00BE0367" w:rsidP="00232F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Pr>
                <w:rFonts w:ascii="Times New Roman" w:hAnsi="Times New Roman" w:cs="Times New Roman"/>
                <w:b/>
                <w:bCs/>
                <w:sz w:val="20"/>
                <w:szCs w:val="20"/>
              </w:rPr>
              <w:t xml:space="preserve"> </w:t>
            </w:r>
            <w:r w:rsidR="00F32DF4" w:rsidRPr="00994D07">
              <w:rPr>
                <w:rFonts w:ascii="Times New Roman" w:hAnsi="Times New Roman" w:cs="Times New Roman"/>
                <w:b/>
                <w:bCs/>
                <w:sz w:val="20"/>
                <w:szCs w:val="20"/>
              </w:rPr>
              <w:t>Psychological Safety:</w:t>
            </w:r>
            <w:r w:rsidR="00F32DF4" w:rsidRPr="00994D07">
              <w:rPr>
                <w:rFonts w:ascii="Times New Roman" w:hAnsi="Times New Roman" w:cs="Times New Roman"/>
                <w:sz w:val="20"/>
                <w:szCs w:val="20"/>
              </w:rPr>
              <w:t xml:space="preserve"> Non-punitive reporting culture </w:t>
            </w:r>
            <w:r w:rsidR="001C5CE6">
              <w:rPr>
                <w:rFonts w:ascii="Times New Roman" w:hAnsi="Times New Roman" w:cs="Times New Roman"/>
                <w:sz w:val="20"/>
                <w:szCs w:val="20"/>
              </w:rPr>
              <w:fldChar w:fldCharType="begin"/>
            </w:r>
            <w:r w:rsidR="001C5CE6">
              <w:rPr>
                <w:rFonts w:ascii="Times New Roman" w:hAnsi="Times New Roman" w:cs="Times New Roman"/>
                <w:sz w:val="20"/>
                <w:szCs w:val="20"/>
              </w:rPr>
              <w:instrText xml:space="preserve"> ADDIN EN.CITE &lt;EndNote&gt;&lt;Cite&gt;&lt;Author&gt;Montgomery&lt;/Author&gt;&lt;Year&gt;2025&lt;/Year&gt;&lt;RecNum&gt;13&lt;/RecNum&gt;&lt;DisplayText&gt;[12]&lt;/DisplayText&gt;&lt;record&gt;&lt;rec-number&gt;13&lt;/rec-number&gt;&lt;foreign-keys&gt;&lt;key app="EN" db-id="dz0tx9r22vexwlee5zcv2d92r92sp99dxwfv" timestamp="1767964143"&gt;13&lt;/key&gt;&lt;/foreign-keys&gt;&lt;ref-type name="Journal Article"&gt;17&lt;/ref-type&gt;&lt;contributors&gt;&lt;authors&gt;&lt;author&gt;Montgomery, Anthony&lt;/author&gt;&lt;author&gt;Chalili, Vilma&lt;/author&gt;&lt;author&gt;Lainidi, Olga&lt;/author&gt;&lt;author&gt;Mouratidis, Christos&lt;/author&gt;&lt;author&gt;Maliousis, Ilias&lt;/author&gt;&lt;author&gt;Paitaridou, Konstantina&lt;/author&gt;&lt;author&gt;Leary, Alison&lt;/author&gt;&lt;/authors&gt;&lt;/contributors&gt;&lt;titles&gt;&lt;title&gt;Psychological safety and patient safety: A systematic and narrative review&lt;/title&gt;&lt;secondary-title&gt;PLoS One&lt;/secondary-title&gt;&lt;/titles&gt;&lt;periodical&gt;&lt;full-title&gt;PLoS One&lt;/full-title&gt;&lt;/periodical&gt;&lt;pages&gt;e0322215&lt;/pages&gt;&lt;volume&gt;20&lt;/volume&gt;&lt;number&gt;4&lt;/number&gt;&lt;dates&gt;&lt;year&gt;2025&lt;/year&gt;&lt;/dates&gt;&lt;isbn&gt;1932-6203&lt;/isbn&gt;&lt;urls&gt;&lt;/urls&gt;&lt;/record&gt;&lt;/Cite&gt;&lt;/EndNote&gt;</w:instrText>
            </w:r>
            <w:r w:rsidR="001C5CE6">
              <w:rPr>
                <w:rFonts w:ascii="Times New Roman" w:hAnsi="Times New Roman" w:cs="Times New Roman"/>
                <w:sz w:val="20"/>
                <w:szCs w:val="20"/>
              </w:rPr>
              <w:fldChar w:fldCharType="separate"/>
            </w:r>
            <w:r w:rsidR="001C5CE6">
              <w:rPr>
                <w:rFonts w:ascii="Times New Roman" w:hAnsi="Times New Roman" w:cs="Times New Roman"/>
                <w:noProof/>
                <w:sz w:val="20"/>
                <w:szCs w:val="20"/>
              </w:rPr>
              <w:t>[12]</w:t>
            </w:r>
            <w:r w:rsidR="001C5CE6">
              <w:rPr>
                <w:rFonts w:ascii="Times New Roman" w:hAnsi="Times New Roman" w:cs="Times New Roman"/>
                <w:sz w:val="20"/>
                <w:szCs w:val="20"/>
              </w:rPr>
              <w:fldChar w:fldCharType="end"/>
            </w:r>
          </w:p>
          <w:p w14:paraId="297FC303" w14:textId="0033A354" w:rsidR="00F32DF4" w:rsidRDefault="00BE0367" w:rsidP="00232F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Pr>
                <w:rFonts w:ascii="Times New Roman" w:hAnsi="Times New Roman" w:cs="Times New Roman"/>
                <w:b/>
                <w:bCs/>
                <w:sz w:val="20"/>
                <w:szCs w:val="20"/>
              </w:rPr>
              <w:t xml:space="preserve"> </w:t>
            </w:r>
            <w:r w:rsidR="00F32DF4" w:rsidRPr="00044ACD">
              <w:rPr>
                <w:rFonts w:ascii="Times New Roman" w:hAnsi="Times New Roman" w:cs="Times New Roman"/>
                <w:b/>
                <w:bCs/>
                <w:sz w:val="20"/>
                <w:szCs w:val="20"/>
              </w:rPr>
              <w:t>Data Granularity:</w:t>
            </w:r>
            <w:r w:rsidR="00F32DF4" w:rsidRPr="00044ACD">
              <w:rPr>
                <w:rFonts w:ascii="Times New Roman" w:hAnsi="Times New Roman" w:cs="Times New Roman"/>
                <w:sz w:val="20"/>
                <w:szCs w:val="20"/>
              </w:rPr>
              <w:t xml:space="preserve"> Capturing cognitive context beyond technical failure</w:t>
            </w:r>
          </w:p>
        </w:tc>
        <w:tc>
          <w:tcPr>
            <w:tcW w:w="2338" w:type="dxa"/>
          </w:tcPr>
          <w:p w14:paraId="5E7B42F1" w14:textId="6CA0E114" w:rsidR="00F32DF4" w:rsidRPr="00026984" w:rsidRDefault="00F32DF4" w:rsidP="00232F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026984">
              <w:rPr>
                <w:rFonts w:ascii="Times New Roman" w:hAnsi="Times New Roman" w:cs="Times New Roman"/>
                <w:b/>
                <w:bCs/>
                <w:sz w:val="20"/>
                <w:szCs w:val="20"/>
              </w:rPr>
              <w:t>Weak Signal Extraction:</w:t>
            </w:r>
          </w:p>
          <w:p w14:paraId="2569146C" w14:textId="39C40B3E" w:rsidR="00F32DF4" w:rsidRDefault="00F32DF4" w:rsidP="00232F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26984">
              <w:rPr>
                <w:rFonts w:ascii="Times New Roman" w:hAnsi="Times New Roman" w:cs="Times New Roman"/>
                <w:sz w:val="20"/>
                <w:szCs w:val="20"/>
              </w:rPr>
              <w:t>Converting qualitative incident reports into structured training data</w:t>
            </w:r>
          </w:p>
        </w:tc>
        <w:tc>
          <w:tcPr>
            <w:tcW w:w="2338" w:type="dxa"/>
          </w:tcPr>
          <w:p w14:paraId="0FE5C0DB" w14:textId="64FE0235" w:rsidR="00663B79" w:rsidRPr="00663B79" w:rsidRDefault="00663B79" w:rsidP="00663B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3B79">
              <w:rPr>
                <w:rFonts w:ascii="Times New Roman" w:hAnsi="Times New Roman" w:cs="Times New Roman"/>
                <w:sz w:val="20"/>
                <w:szCs w:val="20"/>
              </w:rPr>
              <w:t>• Identification of latent systemic drifts</w:t>
            </w:r>
          </w:p>
          <w:p w14:paraId="22FC452E" w14:textId="7C2441A9" w:rsidR="009D2359" w:rsidRPr="008F3D6A" w:rsidRDefault="00663B79" w:rsidP="00663B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3B79">
              <w:rPr>
                <w:rFonts w:ascii="Times New Roman" w:hAnsi="Times New Roman" w:cs="Times New Roman"/>
                <w:sz w:val="20"/>
                <w:szCs w:val="20"/>
              </w:rPr>
              <w:t>• Creation of a valid, empirical evidence base for training</w:t>
            </w:r>
          </w:p>
          <w:p w14:paraId="4B412DE7" w14:textId="2DDCC95C" w:rsidR="00F32DF4" w:rsidRPr="008F3D6A" w:rsidRDefault="00F32DF4" w:rsidP="00663B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9D2359" w14:paraId="64FC0C1C" w14:textId="77777777" w:rsidTr="00E24E1B">
        <w:trPr>
          <w:trHeight w:val="1390"/>
        </w:trPr>
        <w:tc>
          <w:tcPr>
            <w:cnfStyle w:val="001000000000" w:firstRow="0" w:lastRow="0" w:firstColumn="1" w:lastColumn="0" w:oddVBand="0" w:evenVBand="0" w:oddHBand="0" w:evenHBand="0" w:firstRowFirstColumn="0" w:firstRowLastColumn="0" w:lastRowFirstColumn="0" w:lastRowLastColumn="0"/>
            <w:tcW w:w="2337" w:type="dxa"/>
          </w:tcPr>
          <w:p w14:paraId="481B5CF4" w14:textId="049222DC" w:rsidR="009D2359" w:rsidRDefault="009D2359" w:rsidP="000D0670">
            <w:pPr>
              <w:jc w:val="center"/>
              <w:rPr>
                <w:rFonts w:ascii="Times New Roman" w:hAnsi="Times New Roman" w:cs="Times New Roman"/>
                <w:sz w:val="20"/>
                <w:szCs w:val="20"/>
              </w:rPr>
            </w:pPr>
            <w:r w:rsidRPr="000D0670">
              <w:rPr>
                <w:rFonts w:ascii="Times New Roman" w:hAnsi="Times New Roman" w:cs="Times New Roman"/>
                <w:sz w:val="20"/>
                <w:szCs w:val="20"/>
              </w:rPr>
              <w:t>2. Scenario Engineering</w:t>
            </w:r>
          </w:p>
        </w:tc>
        <w:tc>
          <w:tcPr>
            <w:tcW w:w="2337" w:type="dxa"/>
          </w:tcPr>
          <w:p w14:paraId="22D84748" w14:textId="397BC3C3" w:rsidR="009D2359" w:rsidRDefault="00BE0367" w:rsidP="006F08B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Pr>
                <w:rFonts w:ascii="Times New Roman" w:hAnsi="Times New Roman" w:cs="Times New Roman"/>
                <w:b/>
                <w:bCs/>
                <w:sz w:val="20"/>
                <w:szCs w:val="20"/>
              </w:rPr>
              <w:t xml:space="preserve"> </w:t>
            </w:r>
            <w:r w:rsidR="009D2359" w:rsidRPr="006F08B1">
              <w:rPr>
                <w:rFonts w:ascii="Times New Roman" w:hAnsi="Times New Roman" w:cs="Times New Roman"/>
                <w:b/>
                <w:bCs/>
                <w:sz w:val="20"/>
                <w:szCs w:val="20"/>
              </w:rPr>
              <w:t>Simulation Fidelity:</w:t>
            </w:r>
            <w:r w:rsidR="009D2359" w:rsidRPr="006F08B1">
              <w:rPr>
                <w:rFonts w:ascii="Times New Roman" w:hAnsi="Times New Roman" w:cs="Times New Roman"/>
                <w:sz w:val="20"/>
                <w:szCs w:val="20"/>
              </w:rPr>
              <w:t xml:space="preserve"> High-realism OTS/VR environments </w:t>
            </w:r>
            <w:r w:rsidR="00B86E10">
              <w:rPr>
                <w:rFonts w:ascii="Times New Roman" w:hAnsi="Times New Roman" w:cs="Times New Roman"/>
                <w:sz w:val="20"/>
                <w:szCs w:val="20"/>
              </w:rPr>
              <w:fldChar w:fldCharType="begin"/>
            </w:r>
            <w:r w:rsidR="00B86E10">
              <w:rPr>
                <w:rFonts w:ascii="Times New Roman" w:hAnsi="Times New Roman" w:cs="Times New Roman"/>
                <w:sz w:val="20"/>
                <w:szCs w:val="20"/>
              </w:rPr>
              <w:instrText xml:space="preserve"> ADDIN EN.CITE &lt;EndNote&gt;&lt;Cite&gt;&lt;Author&gt;Scorgie&lt;/Author&gt;&lt;Year&gt;2024&lt;/Year&gt;&lt;RecNum&gt;1&lt;/RecNum&gt;&lt;DisplayText&gt;[1, 6]&lt;/DisplayText&gt;&lt;record&gt;&lt;rec-number&gt;1&lt;/rec-number&gt;&lt;foreign-keys&gt;&lt;key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Cite&gt;&lt;Author&gt;Lee&lt;/Author&gt;&lt;Year&gt;2023&lt;/Year&gt;&lt;RecNum&gt;7&lt;/RecNum&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B86E10">
              <w:rPr>
                <w:rFonts w:ascii="Times New Roman" w:hAnsi="Times New Roman" w:cs="Times New Roman"/>
                <w:sz w:val="20"/>
                <w:szCs w:val="20"/>
              </w:rPr>
              <w:fldChar w:fldCharType="separate"/>
            </w:r>
            <w:r w:rsidR="00B86E10">
              <w:rPr>
                <w:rFonts w:ascii="Times New Roman" w:hAnsi="Times New Roman" w:cs="Times New Roman"/>
                <w:noProof/>
                <w:sz w:val="20"/>
                <w:szCs w:val="20"/>
              </w:rPr>
              <w:t>[1, 6]</w:t>
            </w:r>
            <w:r w:rsidR="00B86E10">
              <w:rPr>
                <w:rFonts w:ascii="Times New Roman" w:hAnsi="Times New Roman" w:cs="Times New Roman"/>
                <w:sz w:val="20"/>
                <w:szCs w:val="20"/>
              </w:rPr>
              <w:fldChar w:fldCharType="end"/>
            </w:r>
          </w:p>
          <w:p w14:paraId="5E336687" w14:textId="36FC9404" w:rsidR="009D2359" w:rsidRPr="008E1C06" w:rsidRDefault="00BE0367" w:rsidP="008E1C0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BE0367">
              <w:rPr>
                <w:rFonts w:ascii="Times New Roman" w:hAnsi="Times New Roman" w:cs="Times New Roman"/>
                <w:b/>
                <w:bCs/>
                <w:sz w:val="20"/>
                <w:szCs w:val="20"/>
              </w:rPr>
              <w:t>•</w:t>
            </w:r>
            <w:r>
              <w:rPr>
                <w:rFonts w:ascii="Times New Roman" w:hAnsi="Times New Roman" w:cs="Times New Roman"/>
                <w:b/>
                <w:bCs/>
                <w:sz w:val="20"/>
                <w:szCs w:val="20"/>
              </w:rPr>
              <w:t xml:space="preserve"> </w:t>
            </w:r>
            <w:r w:rsidR="009D2359" w:rsidRPr="008E1C06">
              <w:rPr>
                <w:rFonts w:ascii="Times New Roman" w:hAnsi="Times New Roman" w:cs="Times New Roman"/>
                <w:b/>
                <w:bCs/>
                <w:sz w:val="20"/>
                <w:szCs w:val="20"/>
              </w:rPr>
              <w:t>Stochasticity:</w:t>
            </w:r>
          </w:p>
          <w:p w14:paraId="5CC9D97A" w14:textId="74F12CEB" w:rsidR="009D2359" w:rsidRDefault="009D2359" w:rsidP="008E1C0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E1C06">
              <w:rPr>
                <w:rFonts w:ascii="Times New Roman" w:hAnsi="Times New Roman" w:cs="Times New Roman"/>
                <w:sz w:val="20"/>
                <w:szCs w:val="20"/>
              </w:rPr>
              <w:t>Inclusion of random</w:t>
            </w:r>
            <w:r>
              <w:rPr>
                <w:rFonts w:ascii="Times New Roman" w:hAnsi="Times New Roman" w:cs="Times New Roman"/>
                <w:sz w:val="20"/>
                <w:szCs w:val="20"/>
              </w:rPr>
              <w:t xml:space="preserve"> </w:t>
            </w:r>
            <w:r w:rsidRPr="008E1C06">
              <w:rPr>
                <w:rFonts w:ascii="Times New Roman" w:hAnsi="Times New Roman" w:cs="Times New Roman"/>
                <w:sz w:val="20"/>
                <w:szCs w:val="20"/>
              </w:rPr>
              <w:t>failures and noise</w:t>
            </w:r>
          </w:p>
        </w:tc>
        <w:tc>
          <w:tcPr>
            <w:tcW w:w="2338" w:type="dxa"/>
          </w:tcPr>
          <w:p w14:paraId="2A883B35" w14:textId="32BD6E40" w:rsidR="009D2359" w:rsidRPr="00C319EC" w:rsidRDefault="009D2359" w:rsidP="00232F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C319EC">
              <w:rPr>
                <w:rFonts w:ascii="Times New Roman" w:hAnsi="Times New Roman" w:cs="Times New Roman"/>
                <w:b/>
                <w:bCs/>
                <w:sz w:val="20"/>
                <w:szCs w:val="20"/>
              </w:rPr>
              <w:t>Controlled</w:t>
            </w:r>
            <w:r>
              <w:rPr>
                <w:rFonts w:ascii="Times New Roman" w:hAnsi="Times New Roman" w:cs="Times New Roman"/>
                <w:b/>
                <w:bCs/>
                <w:sz w:val="20"/>
                <w:szCs w:val="20"/>
              </w:rPr>
              <w:t xml:space="preserve"> </w:t>
            </w:r>
            <w:r w:rsidRPr="00C319EC">
              <w:rPr>
                <w:rFonts w:ascii="Times New Roman" w:hAnsi="Times New Roman" w:cs="Times New Roman"/>
                <w:b/>
                <w:bCs/>
                <w:sz w:val="20"/>
                <w:szCs w:val="20"/>
              </w:rPr>
              <w:t>Perturbation:</w:t>
            </w:r>
          </w:p>
          <w:p w14:paraId="46A8F92F" w14:textId="2C274E1F" w:rsidR="009D2359" w:rsidRDefault="009D2359" w:rsidP="00232F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319EC">
              <w:rPr>
                <w:rFonts w:ascii="Times New Roman" w:hAnsi="Times New Roman" w:cs="Times New Roman"/>
                <w:sz w:val="20"/>
                <w:szCs w:val="20"/>
              </w:rPr>
              <w:t xml:space="preserve">Subjecting operators to calculated disorder and stress to trigger adaptation </w:t>
            </w:r>
            <w:r w:rsidR="00B86E10">
              <w:rPr>
                <w:rFonts w:ascii="Times New Roman" w:hAnsi="Times New Roman" w:cs="Times New Roman"/>
                <w:sz w:val="20"/>
                <w:szCs w:val="20"/>
              </w:rPr>
              <w:fldChar w:fldCharType="begin"/>
            </w:r>
            <w:r w:rsidR="00B86E10">
              <w:rPr>
                <w:rFonts w:ascii="Times New Roman" w:hAnsi="Times New Roman" w:cs="Times New Roman"/>
                <w:sz w:val="20"/>
                <w:szCs w:val="20"/>
              </w:rPr>
              <w:instrText xml:space="preserve"> ADDIN EN.CITE &lt;EndNote&gt;&lt;Cite&gt;&lt;Author&gt;Taleb&lt;/Author&gt;&lt;Year&gt;2012&lt;/Year&gt;&lt;RecNum&gt;10&lt;/RecNum&gt;&lt;DisplayText&gt;[3, 13]&lt;/DisplayText&gt;&lt;record&gt;&lt;rec-number&gt;10&lt;/rec-number&gt;&lt;foreign-keys&gt;&lt;key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Cite&gt;&lt;Author&gt;Ghobakhloo&lt;/Author&gt;&lt;Year&gt;2025&lt;/Year&gt;&lt;RecNum&gt;14&lt;/RecNum&gt;&lt;record&gt;&lt;rec-number&gt;14&lt;/rec-number&gt;&lt;foreign-keys&gt;&lt;key app="EN" db-id="dz0tx9r22vexwlee5zcv2d92r92sp99dxwfv" timestamp="1767964152"&gt;14&lt;/key&gt;&lt;/foreign-keys&gt;&lt;ref-type name="Journal Article"&gt;17&lt;/ref-type&gt;&lt;contributors&gt;&lt;authors&gt;&lt;author&gt;Ghobakhloo, Morteza&lt;/author&gt;&lt;author&gt;Foroughi, Behzad&lt;/author&gt;&lt;author&gt;Fathi, Masood&lt;/author&gt;&lt;author&gt;Al-Emran, Mostafa&lt;/author&gt;&lt;author&gt;Al-Sharafi, Mohammed A&lt;/author&gt;&lt;author&gt;Mubarak, Muhammad Faraz&lt;/author&gt;&lt;/authors&gt;&lt;/contributors&gt;&lt;titles&gt;&lt;title&gt;Building antifragile manufacturing systems through strategic technology integration&lt;/title&gt;&lt;secondary-title&gt;Journal of Manufacturing Technology Management&lt;/secondary-title&gt;&lt;/titles&gt;&lt;periodical&gt;&lt;full-title&gt;Journal of Manufacturing Technology Management&lt;/full-title&gt;&lt;/periodical&gt;&lt;pages&gt;221-242&lt;/pages&gt;&lt;volume&gt;36&lt;/volume&gt;&lt;number&gt;9&lt;/number&gt;&lt;dates&gt;&lt;year&gt;2025&lt;/year&gt;&lt;/dates&gt;&lt;isbn&gt;1741-038X&lt;/isbn&gt;&lt;urls&gt;&lt;/urls&gt;&lt;/record&gt;&lt;/Cite&gt;&lt;/EndNote&gt;</w:instrText>
            </w:r>
            <w:r w:rsidR="00B86E10">
              <w:rPr>
                <w:rFonts w:ascii="Times New Roman" w:hAnsi="Times New Roman" w:cs="Times New Roman"/>
                <w:sz w:val="20"/>
                <w:szCs w:val="20"/>
              </w:rPr>
              <w:fldChar w:fldCharType="separate"/>
            </w:r>
            <w:r w:rsidR="00B86E10">
              <w:rPr>
                <w:rFonts w:ascii="Times New Roman" w:hAnsi="Times New Roman" w:cs="Times New Roman"/>
                <w:noProof/>
                <w:sz w:val="20"/>
                <w:szCs w:val="20"/>
              </w:rPr>
              <w:t>[3, 13]</w:t>
            </w:r>
            <w:r w:rsidR="00B86E10">
              <w:rPr>
                <w:rFonts w:ascii="Times New Roman" w:hAnsi="Times New Roman" w:cs="Times New Roman"/>
                <w:sz w:val="20"/>
                <w:szCs w:val="20"/>
              </w:rPr>
              <w:fldChar w:fldCharType="end"/>
            </w:r>
          </w:p>
        </w:tc>
        <w:tc>
          <w:tcPr>
            <w:tcW w:w="2338" w:type="dxa"/>
          </w:tcPr>
          <w:p w14:paraId="3DC931E8" w14:textId="197C2738" w:rsidR="005C49BF" w:rsidRDefault="005C49BF" w:rsidP="004A7E8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sidRPr="005C49BF">
              <w:rPr>
                <w:rFonts w:ascii="Times New Roman" w:hAnsi="Times New Roman" w:cs="Times New Roman"/>
                <w:sz w:val="20"/>
                <w:szCs w:val="20"/>
              </w:rPr>
              <w:t xml:space="preserve"> </w:t>
            </w:r>
            <w:r w:rsidRPr="001A5599">
              <w:rPr>
                <w:rFonts w:ascii="Times New Roman" w:hAnsi="Times New Roman" w:cs="Times New Roman"/>
                <w:b/>
                <w:bCs/>
                <w:sz w:val="20"/>
                <w:szCs w:val="20"/>
              </w:rPr>
              <w:t>Cognitive Readiness:</w:t>
            </w:r>
            <w:r w:rsidRPr="005C49BF">
              <w:rPr>
                <w:rFonts w:ascii="Times New Roman" w:hAnsi="Times New Roman" w:cs="Times New Roman"/>
                <w:sz w:val="20"/>
                <w:szCs w:val="20"/>
              </w:rPr>
              <w:t xml:space="preserve"> Enhanced heuristic decision-making under uncertainty</w:t>
            </w:r>
          </w:p>
          <w:p w14:paraId="5B6C4E13" w14:textId="6D53AAB7" w:rsidR="009D2359" w:rsidRDefault="009D2359" w:rsidP="004A7E8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D2359">
              <w:rPr>
                <w:rFonts w:ascii="Times New Roman" w:hAnsi="Times New Roman" w:cs="Times New Roman"/>
                <w:sz w:val="20"/>
                <w:szCs w:val="20"/>
              </w:rPr>
              <w:t>• Exposure to low-probability, high-consequence events</w:t>
            </w:r>
          </w:p>
        </w:tc>
      </w:tr>
      <w:tr w:rsidR="009915AA" w14:paraId="6B25E01D" w14:textId="77777777" w:rsidTr="00E24E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4E609C0" w14:textId="09DC7E94" w:rsidR="009915AA" w:rsidRDefault="00A649C8" w:rsidP="00A65227">
            <w:pPr>
              <w:jc w:val="center"/>
              <w:rPr>
                <w:rFonts w:ascii="Times New Roman" w:hAnsi="Times New Roman" w:cs="Times New Roman"/>
                <w:sz w:val="20"/>
                <w:szCs w:val="20"/>
              </w:rPr>
            </w:pPr>
            <w:r w:rsidRPr="00A649C8">
              <w:rPr>
                <w:rFonts w:ascii="Times New Roman" w:hAnsi="Times New Roman" w:cs="Times New Roman"/>
                <w:sz w:val="20"/>
                <w:szCs w:val="20"/>
              </w:rPr>
              <w:t>3. Rapid Feedback</w:t>
            </w:r>
          </w:p>
        </w:tc>
        <w:tc>
          <w:tcPr>
            <w:tcW w:w="2337" w:type="dxa"/>
          </w:tcPr>
          <w:p w14:paraId="381195EF" w14:textId="12748B35" w:rsidR="00167F55" w:rsidRPr="00167F55" w:rsidRDefault="00167F55" w:rsidP="00167F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sidRPr="00167F55">
              <w:rPr>
                <w:rFonts w:ascii="Times New Roman" w:hAnsi="Times New Roman" w:cs="Times New Roman"/>
                <w:sz w:val="20"/>
                <w:szCs w:val="20"/>
              </w:rPr>
              <w:t xml:space="preserve"> </w:t>
            </w:r>
            <w:r w:rsidRPr="00167F55">
              <w:rPr>
                <w:rFonts w:ascii="Times New Roman" w:hAnsi="Times New Roman" w:cs="Times New Roman"/>
                <w:b/>
                <w:bCs/>
                <w:sz w:val="20"/>
                <w:szCs w:val="20"/>
              </w:rPr>
              <w:t>Temporal Immediacy:</w:t>
            </w:r>
            <w:r w:rsidRPr="00167F55">
              <w:rPr>
                <w:rFonts w:ascii="Times New Roman" w:hAnsi="Times New Roman" w:cs="Times New Roman"/>
                <w:sz w:val="20"/>
                <w:szCs w:val="20"/>
              </w:rPr>
              <w:t xml:space="preserve"> Post-simulation debriefing </w:t>
            </w:r>
            <w:r w:rsidR="00B86E10">
              <w:rPr>
                <w:rFonts w:ascii="Times New Roman" w:hAnsi="Times New Roman" w:cs="Times New Roman"/>
                <w:sz w:val="20"/>
                <w:szCs w:val="20"/>
              </w:rPr>
              <w:fldChar w:fldCharType="begin"/>
            </w:r>
            <w:r w:rsidR="00B86E10">
              <w:rPr>
                <w:rFonts w:ascii="Times New Roman" w:hAnsi="Times New Roman" w:cs="Times New Roman"/>
                <w:sz w:val="20"/>
                <w:szCs w:val="20"/>
              </w:rPr>
              <w:instrText xml:space="preserve"> ADDIN EN.CITE &lt;EndNote&gt;&lt;Cite&gt;&lt;Author&gt;Spigener&lt;/Author&gt;&lt;Year&gt;2022&lt;/Year&gt;&lt;RecNum&gt;8&lt;/RecNum&gt;&lt;DisplayText&gt;[7]&lt;/DisplayText&gt;&lt;record&gt;&lt;rec-number&gt;8&lt;/rec-number&gt;&lt;foreign-keys&gt;&lt;key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EndNote&gt;</w:instrText>
            </w:r>
            <w:r w:rsidR="00B86E10">
              <w:rPr>
                <w:rFonts w:ascii="Times New Roman" w:hAnsi="Times New Roman" w:cs="Times New Roman"/>
                <w:sz w:val="20"/>
                <w:szCs w:val="20"/>
              </w:rPr>
              <w:fldChar w:fldCharType="separate"/>
            </w:r>
            <w:r w:rsidR="00B86E10">
              <w:rPr>
                <w:rFonts w:ascii="Times New Roman" w:hAnsi="Times New Roman" w:cs="Times New Roman"/>
                <w:noProof/>
                <w:sz w:val="20"/>
                <w:szCs w:val="20"/>
              </w:rPr>
              <w:t>[7]</w:t>
            </w:r>
            <w:r w:rsidR="00B86E10">
              <w:rPr>
                <w:rFonts w:ascii="Times New Roman" w:hAnsi="Times New Roman" w:cs="Times New Roman"/>
                <w:sz w:val="20"/>
                <w:szCs w:val="20"/>
              </w:rPr>
              <w:fldChar w:fldCharType="end"/>
            </w:r>
          </w:p>
          <w:p w14:paraId="6810EC88" w14:textId="15B1C17A" w:rsidR="009915AA" w:rsidRDefault="00167F55" w:rsidP="00167F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sidRPr="00167F55">
              <w:rPr>
                <w:rFonts w:ascii="Times New Roman" w:hAnsi="Times New Roman" w:cs="Times New Roman"/>
                <w:sz w:val="20"/>
                <w:szCs w:val="20"/>
              </w:rPr>
              <w:t xml:space="preserve"> </w:t>
            </w:r>
            <w:r w:rsidRPr="00167F55">
              <w:rPr>
                <w:rFonts w:ascii="Times New Roman" w:hAnsi="Times New Roman" w:cs="Times New Roman"/>
                <w:b/>
                <w:bCs/>
                <w:sz w:val="20"/>
                <w:szCs w:val="20"/>
              </w:rPr>
              <w:t>Behavioral Specificity:</w:t>
            </w:r>
            <w:r w:rsidRPr="00167F55">
              <w:rPr>
                <w:rFonts w:ascii="Times New Roman" w:hAnsi="Times New Roman" w:cs="Times New Roman"/>
                <w:sz w:val="20"/>
                <w:szCs w:val="20"/>
              </w:rPr>
              <w:t xml:space="preserve"> Focus on observable actions</w:t>
            </w:r>
          </w:p>
        </w:tc>
        <w:tc>
          <w:tcPr>
            <w:tcW w:w="2338" w:type="dxa"/>
          </w:tcPr>
          <w:p w14:paraId="63DBDD57" w14:textId="2BD01DB5" w:rsidR="00EC4B2A" w:rsidRPr="00EC4B2A" w:rsidRDefault="00EC4B2A" w:rsidP="00EC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EC4B2A">
              <w:rPr>
                <w:rFonts w:ascii="Times New Roman" w:hAnsi="Times New Roman" w:cs="Times New Roman"/>
                <w:b/>
                <w:bCs/>
                <w:sz w:val="20"/>
                <w:szCs w:val="20"/>
              </w:rPr>
              <w:t>Reinforcement Loop:</w:t>
            </w:r>
          </w:p>
          <w:p w14:paraId="6C4EF8D1" w14:textId="1EBFF467" w:rsidR="009915AA" w:rsidRDefault="00EC4B2A" w:rsidP="00EC4B2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C4B2A">
              <w:rPr>
                <w:rFonts w:ascii="Times New Roman" w:hAnsi="Times New Roman" w:cs="Times New Roman"/>
                <w:sz w:val="20"/>
                <w:szCs w:val="20"/>
              </w:rPr>
              <w:t xml:space="preserve">Immediate correction of at-risk deviations and strengthening of safe habits </w:t>
            </w:r>
            <w:r w:rsidR="00B86E10">
              <w:rPr>
                <w:rFonts w:ascii="Times New Roman" w:hAnsi="Times New Roman" w:cs="Times New Roman"/>
                <w:sz w:val="20"/>
                <w:szCs w:val="20"/>
              </w:rPr>
              <w:fldChar w:fldCharType="begin"/>
            </w:r>
            <w:r w:rsidR="00B86E10">
              <w:rPr>
                <w:rFonts w:ascii="Times New Roman" w:hAnsi="Times New Roman" w:cs="Times New Roman"/>
                <w:sz w:val="20"/>
                <w:szCs w:val="20"/>
              </w:rPr>
              <w:instrText xml:space="preserve"> ADDIN EN.CITE &lt;EndNote&gt;&lt;Cite&gt;&lt;Author&gt;Carra&lt;/Author&gt;&lt;Year&gt;2024&lt;/Year&gt;&lt;RecNum&gt;9&lt;/RecNum&gt;&lt;DisplayText&gt;[8]&lt;/DisplayText&gt;&lt;record&gt;&lt;rec-number&gt;9&lt;/rec-number&gt;&lt;foreign-keys&gt;&lt;key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sidR="00B86E10">
              <w:rPr>
                <w:rFonts w:ascii="Times New Roman" w:hAnsi="Times New Roman" w:cs="Times New Roman"/>
                <w:sz w:val="20"/>
                <w:szCs w:val="20"/>
              </w:rPr>
              <w:fldChar w:fldCharType="separate"/>
            </w:r>
            <w:r w:rsidR="00B86E10">
              <w:rPr>
                <w:rFonts w:ascii="Times New Roman" w:hAnsi="Times New Roman" w:cs="Times New Roman"/>
                <w:noProof/>
                <w:sz w:val="20"/>
                <w:szCs w:val="20"/>
              </w:rPr>
              <w:t>[8]</w:t>
            </w:r>
            <w:r w:rsidR="00B86E10">
              <w:rPr>
                <w:rFonts w:ascii="Times New Roman" w:hAnsi="Times New Roman" w:cs="Times New Roman"/>
                <w:sz w:val="20"/>
                <w:szCs w:val="20"/>
              </w:rPr>
              <w:fldChar w:fldCharType="end"/>
            </w:r>
          </w:p>
        </w:tc>
        <w:tc>
          <w:tcPr>
            <w:tcW w:w="2338" w:type="dxa"/>
          </w:tcPr>
          <w:p w14:paraId="11976C69" w14:textId="35A59AE7" w:rsidR="001A5599" w:rsidRPr="001A5599" w:rsidRDefault="001A5599" w:rsidP="001A55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E0367">
              <w:rPr>
                <w:rFonts w:ascii="Times New Roman" w:hAnsi="Times New Roman" w:cs="Times New Roman"/>
                <w:b/>
                <w:bCs/>
                <w:sz w:val="20"/>
                <w:szCs w:val="20"/>
              </w:rPr>
              <w:t>•</w:t>
            </w:r>
            <w:r w:rsidRPr="001A5599">
              <w:rPr>
                <w:rFonts w:ascii="Times New Roman" w:hAnsi="Times New Roman" w:cs="Times New Roman"/>
                <w:sz w:val="20"/>
                <w:szCs w:val="20"/>
              </w:rPr>
              <w:t xml:space="preserve"> </w:t>
            </w:r>
            <w:r w:rsidRPr="001A5599">
              <w:rPr>
                <w:rFonts w:ascii="Times New Roman" w:hAnsi="Times New Roman" w:cs="Times New Roman"/>
                <w:b/>
                <w:bCs/>
                <w:sz w:val="20"/>
                <w:szCs w:val="20"/>
              </w:rPr>
              <w:t>Behavioral Reliability:</w:t>
            </w:r>
            <w:r w:rsidRPr="001A5599">
              <w:rPr>
                <w:rFonts w:ascii="Times New Roman" w:hAnsi="Times New Roman" w:cs="Times New Roman"/>
                <w:sz w:val="20"/>
                <w:szCs w:val="20"/>
              </w:rPr>
              <w:t xml:space="preserve"> Reduction in skill-based errors</w:t>
            </w:r>
          </w:p>
          <w:p w14:paraId="2CAC5AD8" w14:textId="7926C278" w:rsidR="009915AA" w:rsidRDefault="001A5599" w:rsidP="001A55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1A5599">
              <w:rPr>
                <w:rFonts w:ascii="Times New Roman" w:hAnsi="Times New Roman" w:cs="Times New Roman"/>
                <w:sz w:val="20"/>
                <w:szCs w:val="20"/>
              </w:rPr>
              <w:t>• Transition from conscious effort to unconscious competence</w:t>
            </w:r>
          </w:p>
        </w:tc>
      </w:tr>
      <w:tr w:rsidR="002D3A2D" w14:paraId="24D74A2E" w14:textId="77777777" w:rsidTr="00E24E1B">
        <w:tc>
          <w:tcPr>
            <w:cnfStyle w:val="001000000000" w:firstRow="0" w:lastRow="0" w:firstColumn="1" w:lastColumn="0" w:oddVBand="0" w:evenVBand="0" w:oddHBand="0" w:evenHBand="0" w:firstRowFirstColumn="0" w:firstRowLastColumn="0" w:lastRowFirstColumn="0" w:lastRowLastColumn="0"/>
            <w:tcW w:w="2337" w:type="dxa"/>
          </w:tcPr>
          <w:p w14:paraId="68BBC603" w14:textId="75BC9273" w:rsidR="002D3A2D" w:rsidRPr="00A649C8" w:rsidRDefault="002D3A2D" w:rsidP="00A65227">
            <w:pPr>
              <w:jc w:val="center"/>
              <w:rPr>
                <w:rFonts w:ascii="Times New Roman" w:hAnsi="Times New Roman" w:cs="Times New Roman"/>
                <w:sz w:val="20"/>
                <w:szCs w:val="20"/>
              </w:rPr>
            </w:pPr>
            <w:r w:rsidRPr="002D3A2D">
              <w:rPr>
                <w:rFonts w:ascii="Times New Roman" w:hAnsi="Times New Roman" w:cs="Times New Roman"/>
                <w:sz w:val="20"/>
                <w:szCs w:val="20"/>
              </w:rPr>
              <w:t>System Level Goal</w:t>
            </w:r>
          </w:p>
        </w:tc>
        <w:tc>
          <w:tcPr>
            <w:tcW w:w="2337" w:type="dxa"/>
          </w:tcPr>
          <w:p w14:paraId="2AD49012" w14:textId="4F4BF30E" w:rsidR="00CF4E9A" w:rsidRPr="00CF4E9A" w:rsidRDefault="00CF4E9A" w:rsidP="00CF4E9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F4E9A">
              <w:rPr>
                <w:rFonts w:ascii="Times New Roman" w:hAnsi="Times New Roman" w:cs="Times New Roman"/>
                <w:sz w:val="20"/>
                <w:szCs w:val="20"/>
              </w:rPr>
              <w:t>• Management Commitment</w:t>
            </w:r>
          </w:p>
          <w:p w14:paraId="06A843C6" w14:textId="37A7D3E9" w:rsidR="002D3A2D" w:rsidRPr="00CF4E9A" w:rsidRDefault="00CF4E9A" w:rsidP="00CF4E9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CF4E9A">
              <w:rPr>
                <w:rFonts w:ascii="Times New Roman" w:hAnsi="Times New Roman" w:cs="Times New Roman"/>
                <w:sz w:val="20"/>
                <w:szCs w:val="20"/>
              </w:rPr>
              <w:t>• Cross-functional Integration</w:t>
            </w:r>
          </w:p>
        </w:tc>
        <w:tc>
          <w:tcPr>
            <w:tcW w:w="2338" w:type="dxa"/>
          </w:tcPr>
          <w:p w14:paraId="28D8DC25" w14:textId="2B2977DD" w:rsidR="00234F1B" w:rsidRPr="00234F1B" w:rsidRDefault="00234F1B" w:rsidP="00234F1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234F1B">
              <w:rPr>
                <w:rFonts w:ascii="Times New Roman" w:hAnsi="Times New Roman" w:cs="Times New Roman"/>
                <w:b/>
                <w:bCs/>
                <w:sz w:val="20"/>
                <w:szCs w:val="20"/>
              </w:rPr>
              <w:t>Cyclic Integration:</w:t>
            </w:r>
          </w:p>
          <w:p w14:paraId="003CBEE0" w14:textId="228249DE" w:rsidR="002D3A2D" w:rsidRPr="00EC4B2A" w:rsidRDefault="00234F1B" w:rsidP="00234F1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234F1B">
              <w:rPr>
                <w:rFonts w:ascii="Times New Roman" w:hAnsi="Times New Roman" w:cs="Times New Roman"/>
                <w:sz w:val="20"/>
                <w:szCs w:val="20"/>
              </w:rPr>
              <w:t>Continuous feedback from operations to training</w:t>
            </w:r>
          </w:p>
        </w:tc>
        <w:tc>
          <w:tcPr>
            <w:tcW w:w="2338" w:type="dxa"/>
          </w:tcPr>
          <w:p w14:paraId="262D8377" w14:textId="77777777" w:rsidR="002D3A2D" w:rsidRDefault="008C2092" w:rsidP="001A55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C2092">
              <w:rPr>
                <w:rFonts w:ascii="Times New Roman" w:hAnsi="Times New Roman" w:cs="Times New Roman"/>
                <w:b/>
                <w:bCs/>
                <w:sz w:val="20"/>
                <w:szCs w:val="20"/>
              </w:rPr>
              <w:t>Organizational Antifragility:</w:t>
            </w:r>
          </w:p>
          <w:p w14:paraId="2629866C" w14:textId="77777777" w:rsidR="000F65B4" w:rsidRPr="000F65B4" w:rsidRDefault="000F65B4" w:rsidP="000F65B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F65B4">
              <w:rPr>
                <w:rFonts w:ascii="Times New Roman" w:hAnsi="Times New Roman" w:cs="Times New Roman"/>
                <w:sz w:val="20"/>
                <w:szCs w:val="20"/>
              </w:rPr>
              <w:t>capability gains under variability (antifragile gains)</w:t>
            </w:r>
          </w:p>
          <w:p w14:paraId="357356D7" w14:textId="1DBBE397" w:rsidR="008C2092" w:rsidRPr="00BE0367" w:rsidRDefault="00B86E10" w:rsidP="000F65B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ADDIN EN.CITE &lt;EndNote&gt;&lt;Cite&gt;&lt;Author&gt;Martinetti&lt;/Author&gt;&lt;Year&gt;2019&lt;/Year&gt;&lt;RecNum&gt;4&lt;/RecNum&gt;&lt;DisplayText&gt;[9, 14]&lt;/DisplayText&gt;&lt;record&gt;&lt;rec-number&gt;4&lt;/rec-number&gt;&lt;foreign-keys&gt;&lt;key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Cite&gt;&lt;Author&gt;Ghaljahi&lt;/Author&gt;&lt;Year&gt;2025&lt;/Year&gt;&lt;RecNum&gt;15&lt;/RecNum&gt;&lt;record&gt;&lt;rec-number&gt;15&lt;/rec-number&gt;&lt;foreign-keys&gt;&lt;key app="EN" db-id="dz0tx9r22vexwlee5zcv2d92r92sp99dxwfv" timestamp="1767964161"&gt;15&lt;/key&gt;&lt;/foreign-keys&gt;&lt;ref-type name="Journal Article"&gt;17&lt;/ref-type&gt;&lt;contributors&gt;&lt;authors&gt;&lt;author&gt;Ghaljahi, Maryam&lt;/author&gt;&lt;author&gt;Omidi, Leila&lt;/author&gt;&lt;author&gt;Karimi, Ali&lt;/author&gt;&lt;/authors&gt;&lt;/contributors&gt;&lt;titles&gt;&lt;title&gt;Resilience assessment in process industries: A review of literature&lt;/title&gt;&lt;secondary-title&gt;Heliyon&lt;/secondary-title&gt;&lt;/titles&gt;&lt;periodical&gt;&lt;full-title&gt;Heliyon&lt;/full-title&gt;&lt;/periodical&gt;&lt;volume&gt;11&lt;/volume&gt;&lt;number&gt;4&lt;/number&gt;&lt;dates&gt;&lt;year&gt;2025&lt;/year&gt;&lt;/dates&gt;&lt;isbn&gt;2405-8440&lt;/isbn&gt;&lt;urls&gt;&lt;/urls&gt;&lt;/record&gt;&lt;/Cite&gt;&lt;/EndNote&gt;</w:instrText>
            </w:r>
            <w:r>
              <w:rPr>
                <w:rFonts w:ascii="Times New Roman" w:hAnsi="Times New Roman" w:cs="Times New Roman"/>
                <w:b/>
                <w:bCs/>
                <w:sz w:val="20"/>
                <w:szCs w:val="20"/>
              </w:rPr>
              <w:fldChar w:fldCharType="separate"/>
            </w:r>
            <w:r>
              <w:rPr>
                <w:rFonts w:ascii="Times New Roman" w:hAnsi="Times New Roman" w:cs="Times New Roman"/>
                <w:b/>
                <w:bCs/>
                <w:noProof/>
                <w:sz w:val="20"/>
                <w:szCs w:val="20"/>
              </w:rPr>
              <w:t>[9, 14]</w:t>
            </w:r>
            <w:r>
              <w:rPr>
                <w:rFonts w:ascii="Times New Roman" w:hAnsi="Times New Roman" w:cs="Times New Roman"/>
                <w:b/>
                <w:bCs/>
                <w:sz w:val="20"/>
                <w:szCs w:val="20"/>
              </w:rPr>
              <w:fldChar w:fldCharType="end"/>
            </w:r>
          </w:p>
        </w:tc>
      </w:tr>
    </w:tbl>
    <w:p w14:paraId="13BA8C07" w14:textId="77777777" w:rsidR="00BF0431" w:rsidRDefault="00BF0431" w:rsidP="002B25C4">
      <w:pPr>
        <w:jc w:val="both"/>
        <w:rPr>
          <w:rFonts w:ascii="Times New Roman" w:hAnsi="Times New Roman" w:cs="Times New Roman"/>
          <w:sz w:val="20"/>
          <w:szCs w:val="20"/>
        </w:rPr>
      </w:pPr>
    </w:p>
    <w:p w14:paraId="49811727" w14:textId="1D18FDE6" w:rsidR="002B25C4" w:rsidRPr="002C6F09" w:rsidRDefault="00C428A3" w:rsidP="002B25C4">
      <w:pPr>
        <w:jc w:val="both"/>
        <w:rPr>
          <w:rFonts w:ascii="Times New Roman" w:hAnsi="Times New Roman" w:cs="Times New Roman"/>
          <w:sz w:val="20"/>
          <w:szCs w:val="20"/>
        </w:rPr>
      </w:pPr>
      <w:r w:rsidRPr="002C6F09">
        <w:rPr>
          <w:rFonts w:ascii="Times New Roman" w:hAnsi="Times New Roman" w:cs="Times New Roman"/>
          <w:sz w:val="20"/>
          <w:szCs w:val="20"/>
        </w:rPr>
        <w:t>4.1. Analysis of Causal Mechanisms and Influencing Factors</w:t>
      </w:r>
    </w:p>
    <w:p w14:paraId="5D543405" w14:textId="54D9940B" w:rsidR="00C428A3" w:rsidRPr="00C428A3" w:rsidRDefault="00C428A3" w:rsidP="00C428A3">
      <w:pPr>
        <w:jc w:val="both"/>
        <w:rPr>
          <w:rFonts w:ascii="Times New Roman" w:hAnsi="Times New Roman" w:cs="Times New Roman"/>
          <w:sz w:val="20"/>
          <w:szCs w:val="20"/>
        </w:rPr>
      </w:pPr>
      <w:r w:rsidRPr="00C428A3">
        <w:rPr>
          <w:rFonts w:ascii="Times New Roman" w:hAnsi="Times New Roman" w:cs="Times New Roman"/>
          <w:sz w:val="20"/>
          <w:szCs w:val="20"/>
        </w:rPr>
        <w:lastRenderedPageBreak/>
        <w:t xml:space="preserve">The effectiveness of this framework is not linear, but relies on the interdependence of its three subsystems. As detailed in Table 2, the input stage is strongly influenced by organizational culture. In particular, the extraction of “weak signals” is causally related to psychological safety </w:t>
      </w:r>
      <w:r w:rsidR="00370C03">
        <w:rPr>
          <w:rFonts w:ascii="Times New Roman" w:hAnsi="Times New Roman" w:cs="Times New Roman"/>
          <w:sz w:val="20"/>
          <w:szCs w:val="20"/>
        </w:rPr>
        <w:fldChar w:fldCharType="begin"/>
      </w:r>
      <w:r w:rsidR="00370C03">
        <w:rPr>
          <w:rFonts w:ascii="Times New Roman" w:hAnsi="Times New Roman" w:cs="Times New Roman"/>
          <w:sz w:val="20"/>
          <w:szCs w:val="20"/>
        </w:rPr>
        <w:instrText xml:space="preserve"> ADDIN EN.CITE &lt;EndNote&gt;&lt;Cite&gt;&lt;Author&gt;Montgomery&lt;/Author&gt;&lt;Year&gt;2025&lt;/Year&gt;&lt;RecNum&gt;13&lt;/RecNum&gt;&lt;DisplayText&gt;[12]&lt;/DisplayText&gt;&lt;record&gt;&lt;rec-number&gt;13&lt;/rec-number&gt;&lt;foreign-keys&gt;&lt;key app="EN" db-id="dz0tx9r22vexwlee5zcv2d92r92sp99dxwfv" timestamp="1767964143"&gt;13&lt;/key&gt;&lt;/foreign-keys&gt;&lt;ref-type name="Journal Article"&gt;17&lt;/ref-type&gt;&lt;contributors&gt;&lt;authors&gt;&lt;author&gt;Montgomery, Anthony&lt;/author&gt;&lt;author&gt;Chalili, Vilma&lt;/author&gt;&lt;author&gt;Lainidi, Olga&lt;/author&gt;&lt;author&gt;Mouratidis, Christos&lt;/author&gt;&lt;author&gt;Maliousis, Ilias&lt;/author&gt;&lt;author&gt;Paitaridou, Konstantina&lt;/author&gt;&lt;author&gt;Leary, Alison&lt;/author&gt;&lt;/authors&gt;&lt;/contributors&gt;&lt;titles&gt;&lt;title&gt;Psychological safety and patient safety: A systematic and narrative review&lt;/title&gt;&lt;secondary-title&gt;PLoS One&lt;/secondary-title&gt;&lt;/titles&gt;&lt;periodical&gt;&lt;full-title&gt;PLoS One&lt;/full-title&gt;&lt;/periodical&gt;&lt;pages&gt;e0322215&lt;/pages&gt;&lt;volume&gt;20&lt;/volume&gt;&lt;number&gt;4&lt;/number&gt;&lt;dates&gt;&lt;year&gt;2025&lt;/year&gt;&lt;/dates&gt;&lt;isbn&gt;1932-6203&lt;/isbn&gt;&lt;urls&gt;&lt;/urls&gt;&lt;/record&gt;&lt;/Cite&gt;&lt;/EndNote&gt;</w:instrText>
      </w:r>
      <w:r w:rsidR="00370C03">
        <w:rPr>
          <w:rFonts w:ascii="Times New Roman" w:hAnsi="Times New Roman" w:cs="Times New Roman"/>
          <w:sz w:val="20"/>
          <w:szCs w:val="20"/>
        </w:rPr>
        <w:fldChar w:fldCharType="separate"/>
      </w:r>
      <w:r w:rsidR="00370C03">
        <w:rPr>
          <w:rFonts w:ascii="Times New Roman" w:hAnsi="Times New Roman" w:cs="Times New Roman"/>
          <w:noProof/>
          <w:sz w:val="20"/>
          <w:szCs w:val="20"/>
        </w:rPr>
        <w:t>[12]</w:t>
      </w:r>
      <w:r w:rsidR="00370C03">
        <w:rPr>
          <w:rFonts w:ascii="Times New Roman" w:hAnsi="Times New Roman" w:cs="Times New Roman"/>
          <w:sz w:val="20"/>
          <w:szCs w:val="20"/>
        </w:rPr>
        <w:fldChar w:fldCharType="end"/>
      </w:r>
      <w:r w:rsidRPr="00C428A3">
        <w:rPr>
          <w:rFonts w:ascii="Times New Roman" w:hAnsi="Times New Roman" w:cs="Times New Roman"/>
          <w:sz w:val="20"/>
          <w:szCs w:val="20"/>
        </w:rPr>
        <w:t xml:space="preserve">. Without a non-punitive environment, the </w:t>
      </w:r>
      <w:r w:rsidR="00497454">
        <w:rPr>
          <w:rFonts w:ascii="Times New Roman" w:hAnsi="Times New Roman" w:cs="Times New Roman"/>
          <w:sz w:val="20"/>
          <w:szCs w:val="20"/>
        </w:rPr>
        <w:t>near-miss</w:t>
      </w:r>
      <w:r w:rsidRPr="00C428A3">
        <w:rPr>
          <w:rFonts w:ascii="Times New Roman" w:hAnsi="Times New Roman" w:cs="Times New Roman"/>
          <w:sz w:val="20"/>
          <w:szCs w:val="20"/>
        </w:rPr>
        <w:t xml:space="preserve"> reporting remains superficial, depriving the scenario engineering stage of valid data.</w:t>
      </w:r>
    </w:p>
    <w:p w14:paraId="35105C61" w14:textId="223D9519" w:rsidR="00C428A3" w:rsidRPr="00C428A3" w:rsidRDefault="00C428A3" w:rsidP="00C428A3">
      <w:pPr>
        <w:jc w:val="both"/>
        <w:rPr>
          <w:rFonts w:ascii="Times New Roman" w:hAnsi="Times New Roman" w:cs="Times New Roman"/>
          <w:sz w:val="20"/>
          <w:szCs w:val="20"/>
        </w:rPr>
      </w:pPr>
      <w:r w:rsidRPr="00C428A3">
        <w:rPr>
          <w:rFonts w:ascii="Times New Roman" w:hAnsi="Times New Roman" w:cs="Times New Roman"/>
          <w:sz w:val="20"/>
          <w:szCs w:val="20"/>
        </w:rPr>
        <w:t xml:space="preserve">As a result, the process stage acts as the engine of transformation. Here, the simulation fidelity factor acts as a moderating variable. If the virtual scenarios do not accurately reflect the random nature of real-world process disturbances (e.g., simultaneous alarms and tool failures), the transfer of training to the operational environment will fail </w:t>
      </w:r>
      <w:r w:rsidR="00370C03">
        <w:rPr>
          <w:rFonts w:ascii="Times New Roman" w:hAnsi="Times New Roman" w:cs="Times New Roman"/>
          <w:sz w:val="20"/>
          <w:szCs w:val="20"/>
        </w:rPr>
        <w:fldChar w:fldCharType="begin"/>
      </w:r>
      <w:r w:rsidR="00370C03">
        <w:rPr>
          <w:rFonts w:ascii="Times New Roman" w:hAnsi="Times New Roman" w:cs="Times New Roman"/>
          <w:sz w:val="20"/>
          <w:szCs w:val="20"/>
        </w:rPr>
        <w:instrText xml:space="preserve"> ADDIN EN.CITE &lt;EndNote&gt;&lt;Cite&gt;&lt;Author&gt;Scorgie&lt;/Author&gt;&lt;Year&gt;2024&lt;/Year&gt;&lt;RecNum&gt;1&lt;/RecNum&gt;&lt;DisplayText&gt;[1, 6]&lt;/DisplayText&gt;&lt;record&gt;&lt;rec-number&gt;1&lt;/rec-number&gt;&lt;foreign-keys&gt;&lt;key app="EN" db-id="dz0tx9r22vexwlee5zcv2d92r92sp99dxwfv" timestamp="1766493761"&gt;1&lt;/key&gt;&lt;/foreign-keys&gt;&lt;ref-type name="Journal Article"&gt;17&lt;/ref-type&gt;&lt;contributors&gt;&lt;authors&gt;&lt;author&gt;Scorgie, D&lt;/author&gt;&lt;author&gt;Feng, Z&lt;/author&gt;&lt;author&gt;Paes, D&lt;/author&gt;&lt;author&gt;Parisi, F&lt;/author&gt;&lt;author&gt;Yiu, TW&lt;/author&gt;&lt;author&gt;Lovreglio, R&lt;/author&gt;&lt;/authors&gt;&lt;/contributors&gt;&lt;titles&gt;&lt;title&gt;Virtual reality for safety training: A systematic literature review and meta-analysis&lt;/title&gt;&lt;secondary-title&gt;Safety science&lt;/secondary-title&gt;&lt;/titles&gt;&lt;periodical&gt;&lt;full-title&gt;Safety science&lt;/full-title&gt;&lt;/periodical&gt;&lt;pages&gt;106372&lt;/pages&gt;&lt;volume&gt;171&lt;/volume&gt;&lt;dates&gt;&lt;year&gt;2024&lt;/year&gt;&lt;/dates&gt;&lt;isbn&gt;0925-7535&lt;/isbn&gt;&lt;urls&gt;&lt;/urls&gt;&lt;/record&gt;&lt;/Cite&gt;&lt;Cite&gt;&lt;Author&gt;Lee&lt;/Author&gt;&lt;Year&gt;2023&lt;/Year&gt;&lt;RecNum&gt;7&lt;/RecNum&gt;&lt;record&gt;&lt;rec-number&gt;7&lt;/rec-number&gt;&lt;foreign-keys&gt;&lt;key app="EN" db-id="dz0tx9r22vexwlee5zcv2d92r92sp99dxwfv" timestamp="1766498567"&gt;7&lt;/key&gt;&lt;/foreign-keys&gt;&lt;ref-type name="Journal Article"&gt;17&lt;/ref-type&gt;&lt;contributors&gt;&lt;authors&gt;&lt;author&gt;Lee, Junseo&lt;/author&gt;&lt;author&gt;Ma, Byungchol&lt;/author&gt;&lt;/authors&gt;&lt;/contributors&gt;&lt;titles&gt;&lt;title&gt;An operator training simulator to enable responses to chemical accidents through mutual cooperation between the participants&lt;/title&gt;&lt;secondary-title&gt;Applied Sciences&lt;/secondary-title&gt;&lt;/titles&gt;&lt;periodical&gt;&lt;full-title&gt;Applied Sciences&lt;/full-title&gt;&lt;/periodical&gt;&lt;pages&gt;1382&lt;/pages&gt;&lt;volume&gt;13&lt;/volume&gt;&lt;number&gt;3&lt;/number&gt;&lt;dates&gt;&lt;year&gt;2023&lt;/year&gt;&lt;/dates&gt;&lt;isbn&gt;2076-3417&lt;/isbn&gt;&lt;urls&gt;&lt;/urls&gt;&lt;/record&gt;&lt;/Cite&gt;&lt;/EndNote&gt;</w:instrText>
      </w:r>
      <w:r w:rsidR="00370C03">
        <w:rPr>
          <w:rFonts w:ascii="Times New Roman" w:hAnsi="Times New Roman" w:cs="Times New Roman"/>
          <w:sz w:val="20"/>
          <w:szCs w:val="20"/>
        </w:rPr>
        <w:fldChar w:fldCharType="separate"/>
      </w:r>
      <w:r w:rsidR="00370C03">
        <w:rPr>
          <w:rFonts w:ascii="Times New Roman" w:hAnsi="Times New Roman" w:cs="Times New Roman"/>
          <w:noProof/>
          <w:sz w:val="20"/>
          <w:szCs w:val="20"/>
        </w:rPr>
        <w:t>[1, 6]</w:t>
      </w:r>
      <w:r w:rsidR="00370C03">
        <w:rPr>
          <w:rFonts w:ascii="Times New Roman" w:hAnsi="Times New Roman" w:cs="Times New Roman"/>
          <w:sz w:val="20"/>
          <w:szCs w:val="20"/>
        </w:rPr>
        <w:fldChar w:fldCharType="end"/>
      </w:r>
      <w:r w:rsidRPr="00C428A3">
        <w:rPr>
          <w:rFonts w:ascii="Times New Roman" w:hAnsi="Times New Roman" w:cs="Times New Roman"/>
          <w:sz w:val="20"/>
          <w:szCs w:val="20"/>
        </w:rPr>
        <w:t>. Thus, the “antifragility” of the system is directly proportional to the complexity and realism of the scenarios generated from past near</w:t>
      </w:r>
      <w:r w:rsidR="00497454">
        <w:rPr>
          <w:rFonts w:ascii="Times New Roman" w:hAnsi="Times New Roman" w:cs="Times New Roman"/>
          <w:sz w:val="20"/>
          <w:szCs w:val="20"/>
        </w:rPr>
        <w:t>-</w:t>
      </w:r>
      <w:r w:rsidRPr="00C428A3">
        <w:rPr>
          <w:rFonts w:ascii="Times New Roman" w:hAnsi="Times New Roman" w:cs="Times New Roman"/>
          <w:sz w:val="20"/>
          <w:szCs w:val="20"/>
        </w:rPr>
        <w:t>misses.</w:t>
      </w:r>
    </w:p>
    <w:p w14:paraId="00BBA9F9" w14:textId="43AD7A10" w:rsidR="00C428A3" w:rsidRPr="00C428A3" w:rsidRDefault="00C428A3" w:rsidP="00C428A3">
      <w:pPr>
        <w:jc w:val="both"/>
        <w:rPr>
          <w:rFonts w:ascii="Times New Roman" w:hAnsi="Times New Roman" w:cs="Times New Roman"/>
          <w:sz w:val="20"/>
          <w:szCs w:val="20"/>
        </w:rPr>
      </w:pPr>
      <w:r w:rsidRPr="00C428A3">
        <w:rPr>
          <w:rFonts w:ascii="Times New Roman" w:hAnsi="Times New Roman" w:cs="Times New Roman"/>
          <w:sz w:val="20"/>
          <w:szCs w:val="20"/>
        </w:rPr>
        <w:t xml:space="preserve">Finally, the outcome stage is controlled by the timing and quality of rapid feedback. Immediate, behavior-based feedback facilitates the transition from conscious to unconscious competence (habit formation), thereby directly increasing behavioral reliability </w:t>
      </w:r>
      <w:r w:rsidR="00370C03">
        <w:rPr>
          <w:rFonts w:ascii="Times New Roman" w:hAnsi="Times New Roman" w:cs="Times New Roman"/>
          <w:sz w:val="20"/>
          <w:szCs w:val="20"/>
        </w:rPr>
        <w:fldChar w:fldCharType="begin"/>
      </w:r>
      <w:r w:rsidR="00370C03">
        <w:rPr>
          <w:rFonts w:ascii="Times New Roman" w:hAnsi="Times New Roman" w:cs="Times New Roman"/>
          <w:sz w:val="20"/>
          <w:szCs w:val="20"/>
        </w:rPr>
        <w:instrText xml:space="preserve"> ADDIN EN.CITE &lt;EndNote&gt;&lt;Cite&gt;&lt;Author&gt;Spigener&lt;/Author&gt;&lt;Year&gt;2022&lt;/Year&gt;&lt;RecNum&gt;8&lt;/RecNum&gt;&lt;DisplayText&gt;[7, 8]&lt;/DisplayText&gt;&lt;record&gt;&lt;rec-number&gt;8&lt;/rec-number&gt;&lt;foreign-keys&gt;&lt;key app="EN" db-id="dz0tx9r22vexwlee5zcv2d92r92sp99dxwfv" timestamp="1766498857"&gt;8&lt;/key&gt;&lt;/foreign-keys&gt;&lt;ref-type name="Journal Article"&gt;17&lt;/ref-type&gt;&lt;contributors&gt;&lt;authors&gt;&lt;author&gt;Spigener, Jim&lt;/author&gt;&lt;author&gt;Lyon, Gennifer&lt;/author&gt;&lt;author&gt;McSween, Terry&lt;/author&gt;&lt;/authors&gt;&lt;/contributors&gt;&lt;titles&gt;&lt;title&gt;Behavior-based safety 2022: Today’s evidence&lt;/title&gt;&lt;secondary-title&gt;Journal of Organizational Behavior Management&lt;/secondary-title&gt;&lt;/titles&gt;&lt;periodical&gt;&lt;full-title&gt;Journal of Organizational Behavior Management&lt;/full-title&gt;&lt;/periodical&gt;&lt;pages&gt;336-359&lt;/pages&gt;&lt;volume&gt;42&lt;/volume&gt;&lt;number&gt;4&lt;/number&gt;&lt;dates&gt;&lt;year&gt;2022&lt;/year&gt;&lt;/dates&gt;&lt;isbn&gt;0160-8061&lt;/isbn&gt;&lt;urls&gt;&lt;/urls&gt;&lt;/record&gt;&lt;/Cite&gt;&lt;Cite&gt;&lt;Author&gt;Carra&lt;/Author&gt;&lt;Year&gt;2024&lt;/Year&gt;&lt;RecNum&gt;9&lt;/RecNum&gt;&lt;record&gt;&lt;rec-number&gt;9&lt;/rec-number&gt;&lt;foreign-keys&gt;&lt;key app="EN" db-id="dz0tx9r22vexwlee5zcv2d92r92sp99dxwfv" timestamp="1766501170"&gt;9&lt;/key&gt;&lt;/foreign-keys&gt;&lt;ref-type name="Journal Article"&gt;17&lt;/ref-type&gt;&lt;contributors&gt;&lt;authors&gt;&lt;author&gt;Carra, Silvia&lt;/author&gt;&lt;author&gt;Bottani, Eleonora&lt;/author&gt;&lt;author&gt;Vignali, Giuseppe&lt;/author&gt;&lt;author&gt;Madonna, Marianna&lt;/author&gt;&lt;author&gt;Monica, Luigi&lt;/author&gt;&lt;/authors&gt;&lt;/contributors&gt;&lt;titles&gt;&lt;title&gt;Implementation of behavior-based safety in the workplace: A review of conceptual and empirical literature&lt;/title&gt;&lt;secondary-title&gt;Sustainability&lt;/secondary-title&gt;&lt;/titles&gt;&lt;periodical&gt;&lt;full-title&gt;Sustainability&lt;/full-title&gt;&lt;/periodical&gt;&lt;pages&gt;10195&lt;/pages&gt;&lt;volume&gt;16&lt;/volume&gt;&lt;number&gt;23&lt;/number&gt;&lt;dates&gt;&lt;year&gt;2024&lt;/year&gt;&lt;/dates&gt;&lt;isbn&gt;2071-1050&lt;/isbn&gt;&lt;urls&gt;&lt;/urls&gt;&lt;/record&gt;&lt;/Cite&gt;&lt;/EndNote&gt;</w:instrText>
      </w:r>
      <w:r w:rsidR="00370C03">
        <w:rPr>
          <w:rFonts w:ascii="Times New Roman" w:hAnsi="Times New Roman" w:cs="Times New Roman"/>
          <w:sz w:val="20"/>
          <w:szCs w:val="20"/>
        </w:rPr>
        <w:fldChar w:fldCharType="separate"/>
      </w:r>
      <w:r w:rsidR="00370C03">
        <w:rPr>
          <w:rFonts w:ascii="Times New Roman" w:hAnsi="Times New Roman" w:cs="Times New Roman"/>
          <w:noProof/>
          <w:sz w:val="20"/>
          <w:szCs w:val="20"/>
        </w:rPr>
        <w:t>[7, 8]</w:t>
      </w:r>
      <w:r w:rsidR="00370C03">
        <w:rPr>
          <w:rFonts w:ascii="Times New Roman" w:hAnsi="Times New Roman" w:cs="Times New Roman"/>
          <w:sz w:val="20"/>
          <w:szCs w:val="20"/>
        </w:rPr>
        <w:fldChar w:fldCharType="end"/>
      </w:r>
      <w:r w:rsidRPr="00C428A3">
        <w:rPr>
          <w:rFonts w:ascii="Times New Roman" w:hAnsi="Times New Roman" w:cs="Times New Roman"/>
          <w:sz w:val="20"/>
          <w:szCs w:val="20"/>
        </w:rPr>
        <w:t>.</w:t>
      </w:r>
    </w:p>
    <w:p w14:paraId="0EA2E38C" w14:textId="4249D889" w:rsidR="00343E2B" w:rsidRPr="002C6F09" w:rsidRDefault="008E5AF2" w:rsidP="00343E2B">
      <w:pPr>
        <w:jc w:val="both"/>
        <w:rPr>
          <w:rFonts w:ascii="Times New Roman" w:hAnsi="Times New Roman" w:cs="Times New Roman"/>
          <w:sz w:val="20"/>
          <w:szCs w:val="20"/>
        </w:rPr>
      </w:pPr>
      <w:r w:rsidRPr="002C6F09">
        <w:rPr>
          <w:rFonts w:ascii="Times New Roman" w:hAnsi="Times New Roman" w:cs="Times New Roman"/>
          <w:sz w:val="20"/>
          <w:szCs w:val="20"/>
        </w:rPr>
        <w:t>4.2. Comparative Superiority over Traditional Models</w:t>
      </w:r>
    </w:p>
    <w:p w14:paraId="6585D221" w14:textId="29A2469E" w:rsidR="008E5AF2" w:rsidRDefault="008E5AF2" w:rsidP="0052760C">
      <w:pPr>
        <w:jc w:val="both"/>
        <w:rPr>
          <w:rFonts w:ascii="Times New Roman" w:hAnsi="Times New Roman" w:cs="Times New Roman"/>
          <w:sz w:val="20"/>
          <w:szCs w:val="20"/>
        </w:rPr>
      </w:pPr>
      <w:r w:rsidRPr="008E5AF2">
        <w:rPr>
          <w:rFonts w:ascii="Times New Roman" w:hAnsi="Times New Roman" w:cs="Times New Roman"/>
          <w:sz w:val="20"/>
          <w:szCs w:val="20"/>
        </w:rPr>
        <w:t xml:space="preserve">Conventional safety training often suffers from “decoupling,” where training content is disconnected from actual work practices (work as imagined versus work as done) </w:t>
      </w:r>
      <w:r w:rsidR="00AF5B0C">
        <w:rPr>
          <w:rFonts w:ascii="Times New Roman" w:hAnsi="Times New Roman" w:cs="Times New Roman"/>
          <w:sz w:val="20"/>
          <w:szCs w:val="20"/>
        </w:rPr>
        <w:fldChar w:fldCharType="begin"/>
      </w:r>
      <w:r w:rsidR="00AF5B0C">
        <w:rPr>
          <w:rFonts w:ascii="Times New Roman" w:hAnsi="Times New Roman" w:cs="Times New Roman"/>
          <w:sz w:val="20"/>
          <w:szCs w:val="20"/>
        </w:rPr>
        <w:instrText xml:space="preserve"> ADDIN EN.CITE &lt;EndNote&gt;&lt;Cite&gt;&lt;Author&gt;Phimister&lt;/Author&gt;&lt;Year&gt;2003&lt;/Year&gt;&lt;RecNum&gt;12&lt;/RecNum&gt;&lt;DisplayText&gt;[11]&lt;/DisplayText&gt;&lt;record&gt;&lt;rec-number&gt;12&lt;/rec-number&gt;&lt;foreign-keys&gt;&lt;key app="EN" db-id="dz0tx9r22vexwlee5zcv2d92r92sp99dxwfv" timestamp="1766922770"&gt;12&lt;/key&gt;&lt;/foreign-keys&gt;&lt;ref-type name="Journal Article"&gt;17&lt;/ref-type&gt;&lt;contributors&gt;&lt;authors&gt;&lt;author&gt;Phimister, James R&lt;/author&gt;&lt;author&gt;Oktem, Ulku&lt;/author&gt;&lt;author&gt;Kleindorfer, Paul R&lt;/author&gt;&lt;author&gt;Kunreuther, Howard&lt;/author&gt;&lt;/authors&gt;&lt;/contributors&gt;&lt;titles&gt;&lt;title&gt;Near‐miss incident management in the chemical process industry&lt;/title&gt;&lt;secondary-title&gt;Risk Analysis: An International Journal&lt;/secondary-title&gt;&lt;/titles&gt;&lt;periodical&gt;&lt;full-title&gt;Risk Analysis: An International Journal&lt;/full-title&gt;&lt;/periodical&gt;&lt;pages&gt;445-459&lt;/pages&gt;&lt;volume&gt;23&lt;/volume&gt;&lt;number&gt;3&lt;/number&gt;&lt;dates&gt;&lt;year&gt;2003&lt;/year&gt;&lt;/dates&gt;&lt;isbn&gt;0272-4332&lt;/isbn&gt;&lt;urls&gt;&lt;/urls&gt;&lt;/record&gt;&lt;/Cite&gt;&lt;/EndNote&gt;</w:instrText>
      </w:r>
      <w:r w:rsidR="00AF5B0C">
        <w:rPr>
          <w:rFonts w:ascii="Times New Roman" w:hAnsi="Times New Roman" w:cs="Times New Roman"/>
          <w:sz w:val="20"/>
          <w:szCs w:val="20"/>
        </w:rPr>
        <w:fldChar w:fldCharType="separate"/>
      </w:r>
      <w:r w:rsidR="00AF5B0C">
        <w:rPr>
          <w:rFonts w:ascii="Times New Roman" w:hAnsi="Times New Roman" w:cs="Times New Roman"/>
          <w:noProof/>
          <w:sz w:val="20"/>
          <w:szCs w:val="20"/>
        </w:rPr>
        <w:t>[11]</w:t>
      </w:r>
      <w:r w:rsidR="00AF5B0C">
        <w:rPr>
          <w:rFonts w:ascii="Times New Roman" w:hAnsi="Times New Roman" w:cs="Times New Roman"/>
          <w:sz w:val="20"/>
          <w:szCs w:val="20"/>
        </w:rPr>
        <w:fldChar w:fldCharType="end"/>
      </w:r>
      <w:r w:rsidRPr="008E5AF2">
        <w:rPr>
          <w:rFonts w:ascii="Times New Roman" w:hAnsi="Times New Roman" w:cs="Times New Roman"/>
          <w:sz w:val="20"/>
          <w:szCs w:val="20"/>
        </w:rPr>
        <w:t>. The proposed framework bridges this gap by creating a dynamic feedback loop. While traditional methods produce “robust” operators capable of managing known hazards, this antifragility approach cultivates adaptive capacity</w:t>
      </w:r>
      <w:r w:rsidR="000A3686">
        <w:rPr>
          <w:rFonts w:ascii="Times New Roman" w:hAnsi="Times New Roman" w:cs="Times New Roman"/>
          <w:sz w:val="20"/>
          <w:szCs w:val="20"/>
        </w:rPr>
        <w:t xml:space="preserve">- </w:t>
      </w:r>
      <w:r w:rsidRPr="008E5AF2">
        <w:rPr>
          <w:rFonts w:ascii="Times New Roman" w:hAnsi="Times New Roman" w:cs="Times New Roman"/>
          <w:sz w:val="20"/>
          <w:szCs w:val="20"/>
        </w:rPr>
        <w:t xml:space="preserve">the ability to improvise and recover during new and unforeseen disruptions </w:t>
      </w:r>
      <w:r w:rsidR="00AF5B0C">
        <w:rPr>
          <w:rFonts w:ascii="Times New Roman" w:hAnsi="Times New Roman" w:cs="Times New Roman"/>
          <w:sz w:val="20"/>
          <w:szCs w:val="20"/>
        </w:rPr>
        <w:fldChar w:fldCharType="begin"/>
      </w:r>
      <w:r w:rsidR="00AF5B0C">
        <w:rPr>
          <w:rFonts w:ascii="Times New Roman" w:hAnsi="Times New Roman" w:cs="Times New Roman"/>
          <w:sz w:val="20"/>
          <w:szCs w:val="20"/>
        </w:rPr>
        <w:instrText xml:space="preserve"> ADDIN EN.CITE &lt;EndNote&gt;&lt;Cite&gt;&lt;Author&gt;Taleb&lt;/Author&gt;&lt;Year&gt;2012&lt;/Year&gt;&lt;RecNum&gt;10&lt;/RecNum&gt;&lt;DisplayText&gt;[3, 9]&lt;/DisplayText&gt;&lt;record&gt;&lt;rec-number&gt;10&lt;/rec-number&gt;&lt;foreign-keys&gt;&lt;key app="EN" db-id="dz0tx9r22vexwlee5zcv2d92r92sp99dxwfv" timestamp="1766762200"&gt;10&lt;/key&gt;&lt;/foreign-keys&gt;&lt;ref-type name="Book"&gt;6&lt;/ref-type&gt;&lt;contributors&gt;&lt;authors&gt;&lt;author&gt;Taleb, Nassim Nicholas&lt;/author&gt;&lt;/authors&gt;&lt;/contributors&gt;&lt;titles&gt;&lt;title&gt;Antifragile: Things that gain from disorder&lt;/title&gt;&lt;/titles&gt;&lt;dates&gt;&lt;year&gt;2012&lt;/year&gt;&lt;/dates&gt;&lt;publisher&gt;Penguin UK&lt;/publisher&gt;&lt;isbn&gt;0718197909&lt;/isbn&gt;&lt;urls&gt;&lt;/urls&gt;&lt;/record&gt;&lt;/Cite&gt;&lt;Cite&gt;&lt;Author&gt;Martinetti&lt;/Author&gt;&lt;Year&gt;2019&lt;/Year&gt;&lt;RecNum&gt;4&lt;/RecNum&gt;&lt;record&gt;&lt;rec-number&gt;4&lt;/rec-number&gt;&lt;foreign-keys&gt;&lt;key app="EN" db-id="dz0tx9r22vexwlee5zcv2d92r92sp99dxwfv" timestamp="1766497655"&gt;4&lt;/key&gt;&lt;/foreign-keys&gt;&lt;ref-type name="Journal Article"&gt;17&lt;/ref-type&gt;&lt;contributors&gt;&lt;authors&gt;&lt;author&gt;Martinetti, Alberto&lt;/author&gt;&lt;author&gt;Chatzimichailidou, Maria Mikela&lt;/author&gt;&lt;author&gt;Maida, Luisa&lt;/author&gt;&lt;author&gt;van Dongen, Leo&lt;/author&gt;&lt;/authors&gt;&lt;/contributors&gt;&lt;titles&gt;&lt;title&gt;Safety I–II, resilience and antifragility engineering: a debate explained through an accident occurring on a mobile elevating work platform&lt;/title&gt;&lt;secondary-title&gt;International journal of occupational safety and ergonomics&lt;/secondary-title&gt;&lt;/titles&gt;&lt;periodical&gt;&lt;full-title&gt;International journal of occupational safety and ergonomics&lt;/full-title&gt;&lt;/periodical&gt;&lt;pages&gt;66-75&lt;/pages&gt;&lt;volume&gt;25&lt;/volume&gt;&lt;number&gt;1&lt;/number&gt;&lt;dates&gt;&lt;year&gt;2019&lt;/year&gt;&lt;/dates&gt;&lt;isbn&gt;1080-3548&lt;/isbn&gt;&lt;urls&gt;&lt;/urls&gt;&lt;/record&gt;&lt;/Cite&gt;&lt;/EndNote&gt;</w:instrText>
      </w:r>
      <w:r w:rsidR="00AF5B0C">
        <w:rPr>
          <w:rFonts w:ascii="Times New Roman" w:hAnsi="Times New Roman" w:cs="Times New Roman"/>
          <w:sz w:val="20"/>
          <w:szCs w:val="20"/>
        </w:rPr>
        <w:fldChar w:fldCharType="separate"/>
      </w:r>
      <w:r w:rsidR="00AF5B0C">
        <w:rPr>
          <w:rFonts w:ascii="Times New Roman" w:hAnsi="Times New Roman" w:cs="Times New Roman"/>
          <w:noProof/>
          <w:sz w:val="20"/>
          <w:szCs w:val="20"/>
        </w:rPr>
        <w:t>[3, 9]</w:t>
      </w:r>
      <w:r w:rsidR="00AF5B0C">
        <w:rPr>
          <w:rFonts w:ascii="Times New Roman" w:hAnsi="Times New Roman" w:cs="Times New Roman"/>
          <w:sz w:val="20"/>
          <w:szCs w:val="20"/>
        </w:rPr>
        <w:fldChar w:fldCharType="end"/>
      </w:r>
      <w:r w:rsidRPr="008E5AF2">
        <w:rPr>
          <w:rFonts w:ascii="Times New Roman" w:hAnsi="Times New Roman" w:cs="Times New Roman"/>
          <w:sz w:val="20"/>
          <w:szCs w:val="20"/>
        </w:rPr>
        <w:t xml:space="preserve">. By continuously updating training scenarios with </w:t>
      </w:r>
      <w:r w:rsidR="00497454">
        <w:rPr>
          <w:rFonts w:ascii="Times New Roman" w:hAnsi="Times New Roman" w:cs="Times New Roman"/>
          <w:sz w:val="20"/>
          <w:szCs w:val="20"/>
        </w:rPr>
        <w:t>near-miss</w:t>
      </w:r>
      <w:r w:rsidRPr="008E5AF2">
        <w:rPr>
          <w:rFonts w:ascii="Times New Roman" w:hAnsi="Times New Roman" w:cs="Times New Roman"/>
          <w:sz w:val="20"/>
          <w:szCs w:val="20"/>
        </w:rPr>
        <w:t xml:space="preserve"> data, the system effectively insures itself against future repetition of similar patterns, converting operational noise into strategic </w:t>
      </w:r>
      <w:r w:rsidR="00917205">
        <w:rPr>
          <w:rFonts w:ascii="Times New Roman" w:hAnsi="Times New Roman" w:cs="Times New Roman"/>
          <w:sz w:val="20"/>
          <w:szCs w:val="20"/>
        </w:rPr>
        <w:t>antifragility</w:t>
      </w:r>
      <w:r w:rsidRPr="008E5AF2">
        <w:rPr>
          <w:rFonts w:ascii="Times New Roman" w:hAnsi="Times New Roman" w:cs="Times New Roman"/>
          <w:sz w:val="20"/>
          <w:szCs w:val="20"/>
        </w:rPr>
        <w:t xml:space="preserve"> </w:t>
      </w:r>
      <w:r w:rsidR="00AF5B0C">
        <w:rPr>
          <w:rFonts w:ascii="Times New Roman" w:hAnsi="Times New Roman" w:cs="Times New Roman"/>
          <w:sz w:val="20"/>
          <w:szCs w:val="20"/>
        </w:rPr>
        <w:fldChar w:fldCharType="begin"/>
      </w:r>
      <w:r w:rsidR="00AF5B0C">
        <w:rPr>
          <w:rFonts w:ascii="Times New Roman" w:hAnsi="Times New Roman" w:cs="Times New Roman"/>
          <w:sz w:val="20"/>
          <w:szCs w:val="20"/>
        </w:rPr>
        <w:instrText xml:space="preserve"> ADDIN EN.CITE &lt;EndNote&gt;&lt;Cite&gt;&lt;Author&gt;Ghaljahi&lt;/Author&gt;&lt;Year&gt;2025&lt;/Year&gt;&lt;RecNum&gt;15&lt;/RecNum&gt;&lt;DisplayText&gt;[10, 14]&lt;/DisplayText&gt;&lt;record&gt;&lt;rec-number&gt;15&lt;/rec-number&gt;&lt;foreign-keys&gt;&lt;key app="EN" db-id="dz0tx9r22vexwlee5zcv2d92r92sp99dxwfv" timestamp="1767964161"&gt;15&lt;/key&gt;&lt;/foreign-keys&gt;&lt;ref-type name="Journal Article"&gt;17&lt;/ref-type&gt;&lt;contributors&gt;&lt;authors&gt;&lt;author&gt;Ghaljahi, Maryam&lt;/author&gt;&lt;author&gt;Omidi, Leila&lt;/author&gt;&lt;author&gt;Karimi, Ali&lt;/author&gt;&lt;/authors&gt;&lt;/contributors&gt;&lt;titles&gt;&lt;title&gt;Resilience assessment in process industries: A review of literature&lt;/title&gt;&lt;secondary-title&gt;Heliyon&lt;/secondary-title&gt;&lt;/titles&gt;&lt;periodical&gt;&lt;full-title&gt;Heliyon&lt;/full-title&gt;&lt;/periodical&gt;&lt;volume&gt;11&lt;/volume&gt;&lt;number&gt;4&lt;/number&gt;&lt;dates&gt;&lt;year&gt;2025&lt;/year&gt;&lt;/dates&gt;&lt;isbn&gt;2405-8440&lt;/isbn&gt;&lt;urls&gt;&lt;/urls&gt;&lt;/record&gt;&lt;/Cite&gt;&lt;Cite&gt;&lt;Author&gt;Aven&lt;/Author&gt;&lt;Year&gt;2015&lt;/Year&gt;&lt;RecNum&gt;11&lt;/RecNum&gt;&lt;record&gt;&lt;rec-number&gt;11&lt;/rec-number&gt;&lt;foreign-keys&gt;&lt;key app="EN" db-id="dz0tx9r22vexwlee5zcv2d92r92sp99dxwfv" timestamp="1766922513"&gt;11&lt;/key&gt;&lt;/foreign-keys&gt;&lt;ref-type name="Journal Article"&gt;17&lt;/ref-type&gt;&lt;contributors&gt;&lt;authors&gt;&lt;author&gt;Aven, Terje&lt;/author&gt;&lt;/authors&gt;&lt;/contributors&gt;&lt;titles&gt;&lt;title&gt;The concept of antifragility and its implications for the practice of risk analysis&lt;/title&gt;&lt;secondary-title&gt;Risk analysis&lt;/secondary-title&gt;&lt;/titles&gt;&lt;periodical&gt;&lt;full-title&gt;Risk analysis&lt;/full-title&gt;&lt;/periodical&gt;&lt;pages&gt;476-483&lt;/pages&gt;&lt;volume&gt;35&lt;/volume&gt;&lt;number&gt;3&lt;/number&gt;&lt;dates&gt;&lt;year&gt;2015&lt;/year&gt;&lt;/dates&gt;&lt;isbn&gt;0272-4332&lt;/isbn&gt;&lt;urls&gt;&lt;/urls&gt;&lt;/record&gt;&lt;/Cite&gt;&lt;/EndNote&gt;</w:instrText>
      </w:r>
      <w:r w:rsidR="00AF5B0C">
        <w:rPr>
          <w:rFonts w:ascii="Times New Roman" w:hAnsi="Times New Roman" w:cs="Times New Roman"/>
          <w:sz w:val="20"/>
          <w:szCs w:val="20"/>
        </w:rPr>
        <w:fldChar w:fldCharType="separate"/>
      </w:r>
      <w:r w:rsidR="00AF5B0C">
        <w:rPr>
          <w:rFonts w:ascii="Times New Roman" w:hAnsi="Times New Roman" w:cs="Times New Roman"/>
          <w:noProof/>
          <w:sz w:val="20"/>
          <w:szCs w:val="20"/>
        </w:rPr>
        <w:t>[10, 14]</w:t>
      </w:r>
      <w:r w:rsidR="00AF5B0C">
        <w:rPr>
          <w:rFonts w:ascii="Times New Roman" w:hAnsi="Times New Roman" w:cs="Times New Roman"/>
          <w:sz w:val="20"/>
          <w:szCs w:val="20"/>
        </w:rPr>
        <w:fldChar w:fldCharType="end"/>
      </w:r>
      <w:r w:rsidRPr="008E5AF2">
        <w:rPr>
          <w:rFonts w:ascii="Times New Roman" w:hAnsi="Times New Roman" w:cs="Times New Roman"/>
          <w:sz w:val="20"/>
          <w:szCs w:val="20"/>
        </w:rPr>
        <w:t>.</w:t>
      </w:r>
    </w:p>
    <w:p w14:paraId="4D088E4A" w14:textId="706CF8C1" w:rsidR="004500F7" w:rsidRPr="002C6F09" w:rsidRDefault="00D2745A" w:rsidP="0052760C">
      <w:pPr>
        <w:jc w:val="both"/>
        <w:rPr>
          <w:rFonts w:ascii="Times New Roman" w:hAnsi="Times New Roman" w:cs="Times New Roman"/>
          <w:b/>
          <w:bCs/>
          <w:sz w:val="22"/>
          <w:szCs w:val="22"/>
        </w:rPr>
      </w:pPr>
      <w:r w:rsidRPr="002C6F09">
        <w:rPr>
          <w:rFonts w:ascii="Times New Roman" w:hAnsi="Times New Roman" w:cs="Times New Roman"/>
          <w:b/>
          <w:bCs/>
          <w:sz w:val="22"/>
          <w:szCs w:val="22"/>
        </w:rPr>
        <w:t xml:space="preserve">5. </w:t>
      </w:r>
      <w:r w:rsidR="004500F7" w:rsidRPr="002C6F09">
        <w:rPr>
          <w:rFonts w:ascii="Times New Roman" w:hAnsi="Times New Roman" w:cs="Times New Roman"/>
          <w:b/>
          <w:bCs/>
          <w:sz w:val="22"/>
          <w:szCs w:val="22"/>
        </w:rPr>
        <w:t>Conclusions</w:t>
      </w:r>
    </w:p>
    <w:p w14:paraId="4483D9B8" w14:textId="248C016B" w:rsidR="004500F7" w:rsidRPr="004500F7" w:rsidRDefault="004500F7" w:rsidP="004500F7">
      <w:pPr>
        <w:jc w:val="both"/>
        <w:rPr>
          <w:rFonts w:ascii="Times New Roman" w:hAnsi="Times New Roman" w:cs="Times New Roman"/>
          <w:sz w:val="20"/>
          <w:szCs w:val="20"/>
        </w:rPr>
      </w:pPr>
      <w:r w:rsidRPr="004500F7">
        <w:rPr>
          <w:rFonts w:ascii="Times New Roman" w:hAnsi="Times New Roman" w:cs="Times New Roman"/>
          <w:sz w:val="20"/>
          <w:szCs w:val="20"/>
        </w:rPr>
        <w:t>This study addressed a critical limitation of traditional compliance-based safety training in high-hazard process industries (HHPI</w:t>
      </w:r>
      <w:r w:rsidR="00117EF1">
        <w:rPr>
          <w:rFonts w:ascii="Times New Roman" w:hAnsi="Times New Roman" w:cs="Times New Roman"/>
          <w:sz w:val="20"/>
          <w:szCs w:val="20"/>
        </w:rPr>
        <w:t>s</w:t>
      </w:r>
      <w:r w:rsidRPr="004500F7">
        <w:rPr>
          <w:rFonts w:ascii="Times New Roman" w:hAnsi="Times New Roman" w:cs="Times New Roman"/>
          <w:sz w:val="20"/>
          <w:szCs w:val="20"/>
        </w:rPr>
        <w:t>): its inability to prepare operators for the complexity and unpredictability of modern systems. Combining the principles of Safety-II and Antifragility, this paper presents an integrated framework that transforms operational “noise”</w:t>
      </w:r>
      <w:r>
        <w:rPr>
          <w:rFonts w:ascii="Times New Roman" w:hAnsi="Times New Roman" w:cs="Times New Roman"/>
          <w:sz w:val="20"/>
          <w:szCs w:val="20"/>
        </w:rPr>
        <w:t xml:space="preserve"> -</w:t>
      </w:r>
      <w:r w:rsidRPr="004500F7">
        <w:rPr>
          <w:rFonts w:ascii="Times New Roman" w:hAnsi="Times New Roman" w:cs="Times New Roman"/>
          <w:sz w:val="20"/>
          <w:szCs w:val="20"/>
        </w:rPr>
        <w:t>particularly near</w:t>
      </w:r>
      <w:r w:rsidR="00923719">
        <w:rPr>
          <w:rFonts w:ascii="Times New Roman" w:hAnsi="Times New Roman" w:cs="Times New Roman"/>
          <w:sz w:val="20"/>
          <w:szCs w:val="20"/>
        </w:rPr>
        <w:t>-</w:t>
      </w:r>
      <w:r w:rsidRPr="004500F7">
        <w:rPr>
          <w:rFonts w:ascii="Times New Roman" w:hAnsi="Times New Roman" w:cs="Times New Roman"/>
          <w:sz w:val="20"/>
          <w:szCs w:val="20"/>
        </w:rPr>
        <w:t>misses</w:t>
      </w:r>
      <w:r>
        <w:rPr>
          <w:rFonts w:ascii="Times New Roman" w:hAnsi="Times New Roman" w:cs="Times New Roman"/>
          <w:sz w:val="20"/>
          <w:szCs w:val="20"/>
        </w:rPr>
        <w:t xml:space="preserve">- </w:t>
      </w:r>
      <w:r w:rsidRPr="004500F7">
        <w:rPr>
          <w:rFonts w:ascii="Times New Roman" w:hAnsi="Times New Roman" w:cs="Times New Roman"/>
          <w:sz w:val="20"/>
          <w:szCs w:val="20"/>
        </w:rPr>
        <w:t>into a strategic asset for learning.</w:t>
      </w:r>
    </w:p>
    <w:p w14:paraId="5AC02DF3" w14:textId="09E2118E" w:rsidR="004500F7" w:rsidRDefault="004500F7" w:rsidP="004500F7">
      <w:pPr>
        <w:jc w:val="both"/>
        <w:rPr>
          <w:rFonts w:ascii="Times New Roman" w:hAnsi="Times New Roman" w:cs="Times New Roman"/>
          <w:sz w:val="20"/>
          <w:szCs w:val="20"/>
        </w:rPr>
      </w:pPr>
      <w:r w:rsidRPr="004500F7">
        <w:rPr>
          <w:rFonts w:ascii="Times New Roman" w:hAnsi="Times New Roman" w:cs="Times New Roman"/>
          <w:sz w:val="20"/>
          <w:szCs w:val="20"/>
        </w:rPr>
        <w:t>The main contribution of this work is the conceptualization of a closed-loop cycle in which (1) near</w:t>
      </w:r>
      <w:r w:rsidR="00923719">
        <w:rPr>
          <w:rFonts w:ascii="Times New Roman" w:hAnsi="Times New Roman" w:cs="Times New Roman"/>
          <w:sz w:val="20"/>
          <w:szCs w:val="20"/>
        </w:rPr>
        <w:t>-</w:t>
      </w:r>
      <w:r w:rsidRPr="004500F7">
        <w:rPr>
          <w:rFonts w:ascii="Times New Roman" w:hAnsi="Times New Roman" w:cs="Times New Roman"/>
          <w:sz w:val="20"/>
          <w:szCs w:val="20"/>
        </w:rPr>
        <w:t>misses are systematically captured as weak signals, (2) are engineered into highly accurate simulation scenarios to expose the workforce to controlled disruption, and (3) are reinforced through rapid, behavior-based feedback. This architecture ensures that training content remains dynamically aligned with the evolving operational reality.</w:t>
      </w:r>
    </w:p>
    <w:p w14:paraId="5D93F461" w14:textId="688FBA07" w:rsidR="00A977F3" w:rsidRPr="00A977F3" w:rsidRDefault="00A977F3" w:rsidP="0052760C">
      <w:pPr>
        <w:jc w:val="both"/>
        <w:rPr>
          <w:rFonts w:ascii="Times New Roman" w:hAnsi="Times New Roman" w:cs="Times New Roman"/>
          <w:sz w:val="20"/>
          <w:szCs w:val="20"/>
        </w:rPr>
      </w:pPr>
      <w:r w:rsidRPr="00A977F3">
        <w:rPr>
          <w:rFonts w:ascii="Times New Roman" w:hAnsi="Times New Roman" w:cs="Times New Roman"/>
          <w:sz w:val="20"/>
          <w:szCs w:val="20"/>
        </w:rPr>
        <w:t xml:space="preserve">While the theoretical foundations of this framework are strong and supported by recent literature in </w:t>
      </w:r>
      <w:r w:rsidR="0023308A">
        <w:rPr>
          <w:rFonts w:ascii="Times New Roman" w:hAnsi="Times New Roman" w:cs="Times New Roman"/>
          <w:sz w:val="20"/>
          <w:szCs w:val="20"/>
        </w:rPr>
        <w:t>antifragility</w:t>
      </w:r>
      <w:r w:rsidRPr="00A977F3">
        <w:rPr>
          <w:rFonts w:ascii="Times New Roman" w:hAnsi="Times New Roman" w:cs="Times New Roman"/>
          <w:sz w:val="20"/>
          <w:szCs w:val="20"/>
        </w:rPr>
        <w:t xml:space="preserve"> engineering and pervasive technology, future research should focus on its empirical validation. It is recommended that pilot studies be conducted in petrochemical facilities to quantify the impact of this “antifragility training” on leading indicators such as operator adaptive capacity and scenario resolution time. Ultimately, adopting this framework allows organizations to evolve from a state of fragile adaptation to one of antifragility, where the system recovers after each disruption it successfully navigates.</w:t>
      </w:r>
    </w:p>
    <w:p w14:paraId="62E1EC75" w14:textId="7771A355" w:rsidR="007A30F8" w:rsidRPr="002C6F09" w:rsidRDefault="0052760C" w:rsidP="0052760C">
      <w:pPr>
        <w:jc w:val="both"/>
        <w:rPr>
          <w:rFonts w:ascii="Times New Roman" w:hAnsi="Times New Roman" w:cs="Times New Roman"/>
          <w:b/>
          <w:bCs/>
          <w:sz w:val="22"/>
          <w:szCs w:val="22"/>
        </w:rPr>
      </w:pPr>
      <w:r w:rsidRPr="002C6F09">
        <w:rPr>
          <w:rFonts w:ascii="Times New Roman" w:hAnsi="Times New Roman" w:cs="Times New Roman"/>
          <w:b/>
          <w:bCs/>
          <w:sz w:val="22"/>
          <w:szCs w:val="22"/>
        </w:rPr>
        <w:t xml:space="preserve">References </w:t>
      </w:r>
    </w:p>
    <w:p w14:paraId="3C303947" w14:textId="20FB79D7" w:rsidR="00B86E10" w:rsidRPr="00FD29F9" w:rsidRDefault="00AA22BC"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fldChar w:fldCharType="begin"/>
      </w:r>
      <w:r w:rsidRPr="00FD29F9">
        <w:rPr>
          <w:rFonts w:ascii="Times New Roman" w:hAnsi="Times New Roman" w:cs="Times New Roman"/>
          <w:sz w:val="20"/>
          <w:szCs w:val="20"/>
        </w:rPr>
        <w:instrText xml:space="preserve"> ADDIN EN.REFLIST </w:instrText>
      </w:r>
      <w:r w:rsidRPr="00FD29F9">
        <w:rPr>
          <w:rFonts w:ascii="Times New Roman" w:hAnsi="Times New Roman" w:cs="Times New Roman"/>
          <w:sz w:val="20"/>
          <w:szCs w:val="20"/>
        </w:rPr>
        <w:fldChar w:fldCharType="separate"/>
      </w:r>
      <w:r w:rsidR="00B86E10" w:rsidRPr="00FD29F9">
        <w:rPr>
          <w:rFonts w:ascii="Times New Roman" w:hAnsi="Times New Roman" w:cs="Times New Roman"/>
          <w:sz w:val="20"/>
          <w:szCs w:val="20"/>
        </w:rPr>
        <w:t xml:space="preserve">Scorgie, D., et al., </w:t>
      </w:r>
      <w:r w:rsidR="00B86E10" w:rsidRPr="00FD29F9">
        <w:rPr>
          <w:rFonts w:ascii="Times New Roman" w:hAnsi="Times New Roman" w:cs="Times New Roman"/>
          <w:i/>
          <w:sz w:val="20"/>
          <w:szCs w:val="20"/>
        </w:rPr>
        <w:t>Virtual reality for safety training: A systematic literature review and meta-analysis.</w:t>
      </w:r>
      <w:r w:rsidR="00B86E10" w:rsidRPr="00FD29F9">
        <w:rPr>
          <w:rFonts w:ascii="Times New Roman" w:hAnsi="Times New Roman" w:cs="Times New Roman"/>
          <w:sz w:val="20"/>
          <w:szCs w:val="20"/>
        </w:rPr>
        <w:t xml:space="preserve"> Safety science, 2024. </w:t>
      </w:r>
      <w:r w:rsidR="00B86E10" w:rsidRPr="00FD29F9">
        <w:rPr>
          <w:rFonts w:ascii="Times New Roman" w:hAnsi="Times New Roman" w:cs="Times New Roman"/>
          <w:b/>
          <w:sz w:val="20"/>
          <w:szCs w:val="20"/>
        </w:rPr>
        <w:t>171</w:t>
      </w:r>
      <w:r w:rsidR="00B86E10" w:rsidRPr="00FD29F9">
        <w:rPr>
          <w:rFonts w:ascii="Times New Roman" w:hAnsi="Times New Roman" w:cs="Times New Roman"/>
          <w:sz w:val="20"/>
          <w:szCs w:val="20"/>
        </w:rPr>
        <w:t>: p. 106372.</w:t>
      </w:r>
    </w:p>
    <w:p w14:paraId="17793284" w14:textId="09B1F16E"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Ham, D.-H., </w:t>
      </w:r>
      <w:r w:rsidRPr="00FD29F9">
        <w:rPr>
          <w:rFonts w:ascii="Times New Roman" w:hAnsi="Times New Roman" w:cs="Times New Roman"/>
          <w:i/>
          <w:sz w:val="20"/>
          <w:szCs w:val="20"/>
        </w:rPr>
        <w:t>Safety-II and resilience engineering in a nutshell: an introductory guide to their concepts and methods.</w:t>
      </w:r>
      <w:r w:rsidRPr="00FD29F9">
        <w:rPr>
          <w:rFonts w:ascii="Times New Roman" w:hAnsi="Times New Roman" w:cs="Times New Roman"/>
          <w:sz w:val="20"/>
          <w:szCs w:val="20"/>
        </w:rPr>
        <w:t xml:space="preserve"> Safety and health at work, 2021. </w:t>
      </w:r>
      <w:r w:rsidRPr="00FD29F9">
        <w:rPr>
          <w:rFonts w:ascii="Times New Roman" w:hAnsi="Times New Roman" w:cs="Times New Roman"/>
          <w:b/>
          <w:sz w:val="20"/>
          <w:szCs w:val="20"/>
        </w:rPr>
        <w:t>12</w:t>
      </w:r>
      <w:r w:rsidRPr="00FD29F9">
        <w:rPr>
          <w:rFonts w:ascii="Times New Roman" w:hAnsi="Times New Roman" w:cs="Times New Roman"/>
          <w:sz w:val="20"/>
          <w:szCs w:val="20"/>
        </w:rPr>
        <w:t>(1): p. 10-19.</w:t>
      </w:r>
    </w:p>
    <w:p w14:paraId="7DB724B5" w14:textId="6919B63E"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Taleb, N.N., </w:t>
      </w:r>
      <w:r w:rsidRPr="00FD29F9">
        <w:rPr>
          <w:rFonts w:ascii="Times New Roman" w:hAnsi="Times New Roman" w:cs="Times New Roman"/>
          <w:i/>
          <w:sz w:val="20"/>
          <w:szCs w:val="20"/>
        </w:rPr>
        <w:t>Antifragile: Things that gain from disorder</w:t>
      </w:r>
      <w:r w:rsidRPr="00FD29F9">
        <w:rPr>
          <w:rFonts w:ascii="Times New Roman" w:hAnsi="Times New Roman" w:cs="Times New Roman"/>
          <w:sz w:val="20"/>
          <w:szCs w:val="20"/>
        </w:rPr>
        <w:t>. 2012: Penguin UK.</w:t>
      </w:r>
    </w:p>
    <w:p w14:paraId="4CABD4FA" w14:textId="3CAD9FBE"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De Leo, F., et al., </w:t>
      </w:r>
      <w:r w:rsidRPr="00FD29F9">
        <w:rPr>
          <w:rFonts w:ascii="Times New Roman" w:hAnsi="Times New Roman" w:cs="Times New Roman"/>
          <w:i/>
          <w:sz w:val="20"/>
          <w:szCs w:val="20"/>
        </w:rPr>
        <w:t>Integrating safety-I and safety-II approaches in near miss management: A critical analysis.</w:t>
      </w:r>
      <w:r w:rsidRPr="00FD29F9">
        <w:rPr>
          <w:rFonts w:ascii="Times New Roman" w:hAnsi="Times New Roman" w:cs="Times New Roman"/>
          <w:sz w:val="20"/>
          <w:szCs w:val="20"/>
        </w:rPr>
        <w:t xml:space="preserve"> Sustainability, 2023. </w:t>
      </w:r>
      <w:r w:rsidRPr="00FD29F9">
        <w:rPr>
          <w:rFonts w:ascii="Times New Roman" w:hAnsi="Times New Roman" w:cs="Times New Roman"/>
          <w:b/>
          <w:sz w:val="20"/>
          <w:szCs w:val="20"/>
        </w:rPr>
        <w:t>15</w:t>
      </w:r>
      <w:r w:rsidRPr="00FD29F9">
        <w:rPr>
          <w:rFonts w:ascii="Times New Roman" w:hAnsi="Times New Roman" w:cs="Times New Roman"/>
          <w:sz w:val="20"/>
          <w:szCs w:val="20"/>
        </w:rPr>
        <w:t>(3): p. 2130.</w:t>
      </w:r>
    </w:p>
    <w:p w14:paraId="2DDD5307" w14:textId="25A12B25"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lastRenderedPageBreak/>
        <w:t xml:space="preserve">Gnoni, M.G., et al., </w:t>
      </w:r>
      <w:r w:rsidRPr="00FD29F9">
        <w:rPr>
          <w:rFonts w:ascii="Times New Roman" w:hAnsi="Times New Roman" w:cs="Times New Roman"/>
          <w:i/>
          <w:sz w:val="20"/>
          <w:szCs w:val="20"/>
        </w:rPr>
        <w:t>Near miss management systems in the industrial sector: A literature review.</w:t>
      </w:r>
      <w:r w:rsidRPr="00FD29F9">
        <w:rPr>
          <w:rFonts w:ascii="Times New Roman" w:hAnsi="Times New Roman" w:cs="Times New Roman"/>
          <w:sz w:val="20"/>
          <w:szCs w:val="20"/>
        </w:rPr>
        <w:t xml:space="preserve"> Safety science, 2022. </w:t>
      </w:r>
      <w:r w:rsidRPr="00FD29F9">
        <w:rPr>
          <w:rFonts w:ascii="Times New Roman" w:hAnsi="Times New Roman" w:cs="Times New Roman"/>
          <w:b/>
          <w:sz w:val="20"/>
          <w:szCs w:val="20"/>
        </w:rPr>
        <w:t>150</w:t>
      </w:r>
      <w:r w:rsidRPr="00FD29F9">
        <w:rPr>
          <w:rFonts w:ascii="Times New Roman" w:hAnsi="Times New Roman" w:cs="Times New Roman"/>
          <w:sz w:val="20"/>
          <w:szCs w:val="20"/>
        </w:rPr>
        <w:t>: p. 105704.</w:t>
      </w:r>
    </w:p>
    <w:p w14:paraId="07250E27" w14:textId="3C86A10A"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Lee, J. and B. Ma, </w:t>
      </w:r>
      <w:r w:rsidRPr="00FD29F9">
        <w:rPr>
          <w:rFonts w:ascii="Times New Roman" w:hAnsi="Times New Roman" w:cs="Times New Roman"/>
          <w:i/>
          <w:sz w:val="20"/>
          <w:szCs w:val="20"/>
        </w:rPr>
        <w:t>An operator training simulator to enable responses to chemical accidents through mutual cooperation between the participants.</w:t>
      </w:r>
      <w:r w:rsidRPr="00FD29F9">
        <w:rPr>
          <w:rFonts w:ascii="Times New Roman" w:hAnsi="Times New Roman" w:cs="Times New Roman"/>
          <w:sz w:val="20"/>
          <w:szCs w:val="20"/>
        </w:rPr>
        <w:t xml:space="preserve"> Applied Sciences, 2023. </w:t>
      </w:r>
      <w:r w:rsidRPr="00FD29F9">
        <w:rPr>
          <w:rFonts w:ascii="Times New Roman" w:hAnsi="Times New Roman" w:cs="Times New Roman"/>
          <w:b/>
          <w:sz w:val="20"/>
          <w:szCs w:val="20"/>
        </w:rPr>
        <w:t>13</w:t>
      </w:r>
      <w:r w:rsidRPr="00FD29F9">
        <w:rPr>
          <w:rFonts w:ascii="Times New Roman" w:hAnsi="Times New Roman" w:cs="Times New Roman"/>
          <w:sz w:val="20"/>
          <w:szCs w:val="20"/>
        </w:rPr>
        <w:t>(3): p. 1382.</w:t>
      </w:r>
    </w:p>
    <w:p w14:paraId="1D148619" w14:textId="72644717"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Spigener, J., G. Lyon, and T. McSween, </w:t>
      </w:r>
      <w:r w:rsidRPr="00FD29F9">
        <w:rPr>
          <w:rFonts w:ascii="Times New Roman" w:hAnsi="Times New Roman" w:cs="Times New Roman"/>
          <w:i/>
          <w:sz w:val="20"/>
          <w:szCs w:val="20"/>
        </w:rPr>
        <w:t>Behavior-based safety 2022: Today’s evidence.</w:t>
      </w:r>
      <w:r w:rsidRPr="00FD29F9">
        <w:rPr>
          <w:rFonts w:ascii="Times New Roman" w:hAnsi="Times New Roman" w:cs="Times New Roman"/>
          <w:sz w:val="20"/>
          <w:szCs w:val="20"/>
        </w:rPr>
        <w:t xml:space="preserve"> Journal of Organizational Behavior Management, 2022. </w:t>
      </w:r>
      <w:r w:rsidRPr="00FD29F9">
        <w:rPr>
          <w:rFonts w:ascii="Times New Roman" w:hAnsi="Times New Roman" w:cs="Times New Roman"/>
          <w:b/>
          <w:sz w:val="20"/>
          <w:szCs w:val="20"/>
        </w:rPr>
        <w:t>42</w:t>
      </w:r>
      <w:r w:rsidRPr="00FD29F9">
        <w:rPr>
          <w:rFonts w:ascii="Times New Roman" w:hAnsi="Times New Roman" w:cs="Times New Roman"/>
          <w:sz w:val="20"/>
          <w:szCs w:val="20"/>
        </w:rPr>
        <w:t>(4): p. 336-359.</w:t>
      </w:r>
    </w:p>
    <w:p w14:paraId="5B402F83" w14:textId="294CE24E"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Carra, S., et al., </w:t>
      </w:r>
      <w:r w:rsidRPr="00FD29F9">
        <w:rPr>
          <w:rFonts w:ascii="Times New Roman" w:hAnsi="Times New Roman" w:cs="Times New Roman"/>
          <w:i/>
          <w:sz w:val="20"/>
          <w:szCs w:val="20"/>
        </w:rPr>
        <w:t>Implementation of behavior-based safety in the workplace: A review of conceptual and empirical literature.</w:t>
      </w:r>
      <w:r w:rsidRPr="00FD29F9">
        <w:rPr>
          <w:rFonts w:ascii="Times New Roman" w:hAnsi="Times New Roman" w:cs="Times New Roman"/>
          <w:sz w:val="20"/>
          <w:szCs w:val="20"/>
        </w:rPr>
        <w:t xml:space="preserve"> Sustainability, 2024. </w:t>
      </w:r>
      <w:r w:rsidRPr="00FD29F9">
        <w:rPr>
          <w:rFonts w:ascii="Times New Roman" w:hAnsi="Times New Roman" w:cs="Times New Roman"/>
          <w:b/>
          <w:sz w:val="20"/>
          <w:szCs w:val="20"/>
        </w:rPr>
        <w:t>16</w:t>
      </w:r>
      <w:r w:rsidRPr="00FD29F9">
        <w:rPr>
          <w:rFonts w:ascii="Times New Roman" w:hAnsi="Times New Roman" w:cs="Times New Roman"/>
          <w:sz w:val="20"/>
          <w:szCs w:val="20"/>
        </w:rPr>
        <w:t>(23): p. 10195.</w:t>
      </w:r>
    </w:p>
    <w:p w14:paraId="0C5A61B7" w14:textId="1C099D54"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Martinetti, A., et al., </w:t>
      </w:r>
      <w:r w:rsidRPr="00FD29F9">
        <w:rPr>
          <w:rFonts w:ascii="Times New Roman" w:hAnsi="Times New Roman" w:cs="Times New Roman"/>
          <w:i/>
          <w:sz w:val="20"/>
          <w:szCs w:val="20"/>
        </w:rPr>
        <w:t>Safety I–II, resilience and antifragility engineering: a debate explained through an accident occurring on a mobile elevating work platform.</w:t>
      </w:r>
      <w:r w:rsidRPr="00FD29F9">
        <w:rPr>
          <w:rFonts w:ascii="Times New Roman" w:hAnsi="Times New Roman" w:cs="Times New Roman"/>
          <w:sz w:val="20"/>
          <w:szCs w:val="20"/>
        </w:rPr>
        <w:t xml:space="preserve"> International journal of occupational safety and ergonomics, 2019. </w:t>
      </w:r>
      <w:r w:rsidRPr="00FD29F9">
        <w:rPr>
          <w:rFonts w:ascii="Times New Roman" w:hAnsi="Times New Roman" w:cs="Times New Roman"/>
          <w:b/>
          <w:sz w:val="20"/>
          <w:szCs w:val="20"/>
        </w:rPr>
        <w:t>25</w:t>
      </w:r>
      <w:r w:rsidRPr="00FD29F9">
        <w:rPr>
          <w:rFonts w:ascii="Times New Roman" w:hAnsi="Times New Roman" w:cs="Times New Roman"/>
          <w:sz w:val="20"/>
          <w:szCs w:val="20"/>
        </w:rPr>
        <w:t>(1): p. 66-75.</w:t>
      </w:r>
    </w:p>
    <w:p w14:paraId="17E34189" w14:textId="0585605A"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Aven, T., </w:t>
      </w:r>
      <w:r w:rsidRPr="00FD29F9">
        <w:rPr>
          <w:rFonts w:ascii="Times New Roman" w:hAnsi="Times New Roman" w:cs="Times New Roman"/>
          <w:i/>
          <w:sz w:val="20"/>
          <w:szCs w:val="20"/>
        </w:rPr>
        <w:t>The concept of antifragility and its implications for the practice of risk analysis.</w:t>
      </w:r>
      <w:r w:rsidRPr="00FD29F9">
        <w:rPr>
          <w:rFonts w:ascii="Times New Roman" w:hAnsi="Times New Roman" w:cs="Times New Roman"/>
          <w:sz w:val="20"/>
          <w:szCs w:val="20"/>
        </w:rPr>
        <w:t xml:space="preserve"> Risk analysis, 2015. </w:t>
      </w:r>
      <w:r w:rsidRPr="00FD29F9">
        <w:rPr>
          <w:rFonts w:ascii="Times New Roman" w:hAnsi="Times New Roman" w:cs="Times New Roman"/>
          <w:b/>
          <w:sz w:val="20"/>
          <w:szCs w:val="20"/>
        </w:rPr>
        <w:t>35</w:t>
      </w:r>
      <w:r w:rsidRPr="00FD29F9">
        <w:rPr>
          <w:rFonts w:ascii="Times New Roman" w:hAnsi="Times New Roman" w:cs="Times New Roman"/>
          <w:sz w:val="20"/>
          <w:szCs w:val="20"/>
        </w:rPr>
        <w:t>(3): p. 476-483.</w:t>
      </w:r>
    </w:p>
    <w:p w14:paraId="6F04BBA6" w14:textId="6DCD1D6C"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Phimister, J.R., et al., </w:t>
      </w:r>
      <w:r w:rsidRPr="00FD29F9">
        <w:rPr>
          <w:rFonts w:ascii="Times New Roman" w:hAnsi="Times New Roman" w:cs="Times New Roman"/>
          <w:i/>
          <w:sz w:val="20"/>
          <w:szCs w:val="20"/>
        </w:rPr>
        <w:t>Near‐miss incident management in the chemical process industry.</w:t>
      </w:r>
      <w:r w:rsidRPr="00FD29F9">
        <w:rPr>
          <w:rFonts w:ascii="Times New Roman" w:hAnsi="Times New Roman" w:cs="Times New Roman"/>
          <w:sz w:val="20"/>
          <w:szCs w:val="20"/>
        </w:rPr>
        <w:t xml:space="preserve"> Risk Analysis: An International Journal, 2003. </w:t>
      </w:r>
      <w:r w:rsidRPr="00FD29F9">
        <w:rPr>
          <w:rFonts w:ascii="Times New Roman" w:hAnsi="Times New Roman" w:cs="Times New Roman"/>
          <w:b/>
          <w:sz w:val="20"/>
          <w:szCs w:val="20"/>
        </w:rPr>
        <w:t>23</w:t>
      </w:r>
      <w:r w:rsidRPr="00FD29F9">
        <w:rPr>
          <w:rFonts w:ascii="Times New Roman" w:hAnsi="Times New Roman" w:cs="Times New Roman"/>
          <w:sz w:val="20"/>
          <w:szCs w:val="20"/>
        </w:rPr>
        <w:t>(3): p. 445-459.</w:t>
      </w:r>
    </w:p>
    <w:p w14:paraId="73F44452" w14:textId="7F81AFA0"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Montgomery, A., et al., </w:t>
      </w:r>
      <w:r w:rsidRPr="00FD29F9">
        <w:rPr>
          <w:rFonts w:ascii="Times New Roman" w:hAnsi="Times New Roman" w:cs="Times New Roman"/>
          <w:i/>
          <w:sz w:val="20"/>
          <w:szCs w:val="20"/>
        </w:rPr>
        <w:t>Psychological safety and patient safety: A systematic and narrative review.</w:t>
      </w:r>
      <w:r w:rsidRPr="00FD29F9">
        <w:rPr>
          <w:rFonts w:ascii="Times New Roman" w:hAnsi="Times New Roman" w:cs="Times New Roman"/>
          <w:sz w:val="20"/>
          <w:szCs w:val="20"/>
        </w:rPr>
        <w:t xml:space="preserve"> PLoS One, 2025. </w:t>
      </w:r>
      <w:r w:rsidRPr="00FD29F9">
        <w:rPr>
          <w:rFonts w:ascii="Times New Roman" w:hAnsi="Times New Roman" w:cs="Times New Roman"/>
          <w:b/>
          <w:sz w:val="20"/>
          <w:szCs w:val="20"/>
        </w:rPr>
        <w:t>20</w:t>
      </w:r>
      <w:r w:rsidRPr="00FD29F9">
        <w:rPr>
          <w:rFonts w:ascii="Times New Roman" w:hAnsi="Times New Roman" w:cs="Times New Roman"/>
          <w:sz w:val="20"/>
          <w:szCs w:val="20"/>
        </w:rPr>
        <w:t>(4): p. e0322215.</w:t>
      </w:r>
    </w:p>
    <w:p w14:paraId="7CDBAC23" w14:textId="6B72541D" w:rsidR="00B86E10" w:rsidRPr="00FD29F9" w:rsidRDefault="00B86E10" w:rsidP="00461210">
      <w:pPr>
        <w:pStyle w:val="EndNoteBibliography"/>
        <w:numPr>
          <w:ilvl w:val="0"/>
          <w:numId w:val="26"/>
        </w:numPr>
        <w:spacing w:after="0"/>
        <w:rPr>
          <w:rFonts w:ascii="Times New Roman" w:hAnsi="Times New Roman" w:cs="Times New Roman"/>
          <w:sz w:val="20"/>
          <w:szCs w:val="20"/>
        </w:rPr>
      </w:pPr>
      <w:r w:rsidRPr="00FD29F9">
        <w:rPr>
          <w:rFonts w:ascii="Times New Roman" w:hAnsi="Times New Roman" w:cs="Times New Roman"/>
          <w:sz w:val="20"/>
          <w:szCs w:val="20"/>
        </w:rPr>
        <w:t xml:space="preserve">Ghobakhloo, M., et al., </w:t>
      </w:r>
      <w:r w:rsidRPr="00FD29F9">
        <w:rPr>
          <w:rFonts w:ascii="Times New Roman" w:hAnsi="Times New Roman" w:cs="Times New Roman"/>
          <w:i/>
          <w:sz w:val="20"/>
          <w:szCs w:val="20"/>
        </w:rPr>
        <w:t>Building antifragile manufacturing systems through strategic technology integration.</w:t>
      </w:r>
      <w:r w:rsidRPr="00FD29F9">
        <w:rPr>
          <w:rFonts w:ascii="Times New Roman" w:hAnsi="Times New Roman" w:cs="Times New Roman"/>
          <w:sz w:val="20"/>
          <w:szCs w:val="20"/>
        </w:rPr>
        <w:t xml:space="preserve"> Journal of Manufacturing Technology Management, 2025. </w:t>
      </w:r>
      <w:r w:rsidRPr="00FD29F9">
        <w:rPr>
          <w:rFonts w:ascii="Times New Roman" w:hAnsi="Times New Roman" w:cs="Times New Roman"/>
          <w:b/>
          <w:sz w:val="20"/>
          <w:szCs w:val="20"/>
        </w:rPr>
        <w:t>36</w:t>
      </w:r>
      <w:r w:rsidRPr="00FD29F9">
        <w:rPr>
          <w:rFonts w:ascii="Times New Roman" w:hAnsi="Times New Roman" w:cs="Times New Roman"/>
          <w:sz w:val="20"/>
          <w:szCs w:val="20"/>
        </w:rPr>
        <w:t>(9): p. 221-242.</w:t>
      </w:r>
    </w:p>
    <w:p w14:paraId="3129F328" w14:textId="6033F55E" w:rsidR="00B86E10" w:rsidRPr="00FD29F9" w:rsidRDefault="00B86E10" w:rsidP="00461210">
      <w:pPr>
        <w:pStyle w:val="EndNoteBibliography"/>
        <w:numPr>
          <w:ilvl w:val="0"/>
          <w:numId w:val="26"/>
        </w:numPr>
        <w:rPr>
          <w:rFonts w:ascii="Times New Roman" w:hAnsi="Times New Roman" w:cs="Times New Roman"/>
          <w:sz w:val="20"/>
          <w:szCs w:val="20"/>
        </w:rPr>
      </w:pPr>
      <w:r w:rsidRPr="00FD29F9">
        <w:rPr>
          <w:rFonts w:ascii="Times New Roman" w:hAnsi="Times New Roman" w:cs="Times New Roman"/>
          <w:sz w:val="20"/>
          <w:szCs w:val="20"/>
        </w:rPr>
        <w:t xml:space="preserve">Ghaljahi, M., L. Omidi, and A. Karimi, </w:t>
      </w:r>
      <w:r w:rsidRPr="00FD29F9">
        <w:rPr>
          <w:rFonts w:ascii="Times New Roman" w:hAnsi="Times New Roman" w:cs="Times New Roman"/>
          <w:i/>
          <w:sz w:val="20"/>
          <w:szCs w:val="20"/>
        </w:rPr>
        <w:t>Resilience assessment in process industries: A review of literature.</w:t>
      </w:r>
      <w:r w:rsidRPr="00FD29F9">
        <w:rPr>
          <w:rFonts w:ascii="Times New Roman" w:hAnsi="Times New Roman" w:cs="Times New Roman"/>
          <w:sz w:val="20"/>
          <w:szCs w:val="20"/>
        </w:rPr>
        <w:t xml:space="preserve"> Heliyon, 2025. </w:t>
      </w:r>
      <w:r w:rsidRPr="00FD29F9">
        <w:rPr>
          <w:rFonts w:ascii="Times New Roman" w:hAnsi="Times New Roman" w:cs="Times New Roman"/>
          <w:b/>
          <w:sz w:val="20"/>
          <w:szCs w:val="20"/>
        </w:rPr>
        <w:t>11</w:t>
      </w:r>
      <w:r w:rsidRPr="00FD29F9">
        <w:rPr>
          <w:rFonts w:ascii="Times New Roman" w:hAnsi="Times New Roman" w:cs="Times New Roman"/>
          <w:sz w:val="20"/>
          <w:szCs w:val="20"/>
        </w:rPr>
        <w:t>(4).</w:t>
      </w:r>
    </w:p>
    <w:p w14:paraId="121C3F7B" w14:textId="1267BF7E" w:rsidR="006B7245" w:rsidRPr="0052760C" w:rsidRDefault="00AA22BC" w:rsidP="00B86E10">
      <w:pPr>
        <w:jc w:val="both"/>
        <w:rPr>
          <w:rFonts w:ascii="Times New Roman" w:hAnsi="Times New Roman" w:cs="Times New Roman"/>
          <w:sz w:val="20"/>
          <w:szCs w:val="20"/>
        </w:rPr>
      </w:pPr>
      <w:r w:rsidRPr="00FD29F9">
        <w:rPr>
          <w:rFonts w:ascii="Times New Roman" w:hAnsi="Times New Roman" w:cs="Times New Roman"/>
          <w:sz w:val="20"/>
          <w:szCs w:val="20"/>
        </w:rPr>
        <w:fldChar w:fldCharType="end"/>
      </w:r>
    </w:p>
    <w:p w14:paraId="50BA6F3F" w14:textId="77777777" w:rsidR="00B83DAB" w:rsidRDefault="00B83DAB" w:rsidP="00B83DAB">
      <w:pPr>
        <w:rPr>
          <w:rFonts w:asciiTheme="majorBidi" w:hAnsiTheme="majorBidi" w:cstheme="majorBidi"/>
        </w:rPr>
      </w:pPr>
    </w:p>
    <w:p w14:paraId="16CE6E8D" w14:textId="0873C515" w:rsidR="00B83DAB" w:rsidRPr="00B83DAB" w:rsidRDefault="00B83DAB" w:rsidP="00B83DAB">
      <w:pPr>
        <w:tabs>
          <w:tab w:val="left" w:pos="7710"/>
        </w:tabs>
        <w:rPr>
          <w:rFonts w:asciiTheme="majorBidi" w:hAnsiTheme="majorBidi" w:cstheme="majorBidi"/>
        </w:rPr>
      </w:pPr>
      <w:r>
        <w:rPr>
          <w:rFonts w:asciiTheme="majorBidi" w:hAnsiTheme="majorBidi" w:cstheme="majorBidi"/>
        </w:rPr>
        <w:tab/>
      </w:r>
    </w:p>
    <w:sectPr w:rsidR="00B83DAB" w:rsidRPr="00B83DAB" w:rsidSect="00F048E8">
      <w:headerReference w:type="default" r:id="rId12"/>
      <w:footerReference w:type="default" r:id="rId13"/>
      <w:pgSz w:w="12240" w:h="15840"/>
      <w:pgMar w:top="1699"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E0AB9" w14:textId="77777777" w:rsidR="00F229F9" w:rsidRDefault="00F229F9" w:rsidP="00B83DAB">
      <w:pPr>
        <w:spacing w:after="0" w:line="240" w:lineRule="auto"/>
      </w:pPr>
      <w:r>
        <w:separator/>
      </w:r>
    </w:p>
  </w:endnote>
  <w:endnote w:type="continuationSeparator" w:id="0">
    <w:p w14:paraId="717D6086" w14:textId="77777777" w:rsidR="00F229F9" w:rsidRDefault="00F229F9" w:rsidP="00B83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604734"/>
      <w:docPartObj>
        <w:docPartGallery w:val="Page Numbers (Bottom of Page)"/>
        <w:docPartUnique/>
      </w:docPartObj>
    </w:sdtPr>
    <w:sdtEndPr>
      <w:rPr>
        <w:noProof/>
      </w:rPr>
    </w:sdtEndPr>
    <w:sdtContent>
      <w:p w14:paraId="1F51E858" w14:textId="73B75B9C" w:rsidR="003665C7" w:rsidRDefault="003665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0C01BF" w14:textId="77777777" w:rsidR="003665C7" w:rsidRDefault="00366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868B" w14:textId="77777777" w:rsidR="00F229F9" w:rsidRDefault="00F229F9" w:rsidP="00B83DAB">
      <w:pPr>
        <w:spacing w:after="0" w:line="240" w:lineRule="auto"/>
      </w:pPr>
      <w:r>
        <w:separator/>
      </w:r>
    </w:p>
  </w:footnote>
  <w:footnote w:type="continuationSeparator" w:id="0">
    <w:p w14:paraId="5D290F88" w14:textId="77777777" w:rsidR="00F229F9" w:rsidRDefault="00F229F9" w:rsidP="00B83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CCF8" w14:textId="368F7BA5" w:rsidR="005D1726" w:rsidRDefault="005D1726">
    <w:pPr>
      <w:pStyle w:val="Header"/>
    </w:pPr>
    <w:r w:rsidRPr="005D1726">
      <w:rPr>
        <w:rFonts w:ascii="Times New Roman" w:eastAsia="Times New Roman" w:hAnsi="Times New Roman" w:cs="Traditional Arabic"/>
        <w:noProof/>
        <w:kern w:val="0"/>
        <w:sz w:val="20"/>
        <w:szCs w:val="20"/>
        <w:rtl/>
        <w14:ligatures w14:val="none"/>
      </w:rPr>
      <w:drawing>
        <wp:anchor distT="0" distB="0" distL="114300" distR="114300" simplePos="0" relativeHeight="251659264" behindDoc="1" locked="0" layoutInCell="1" allowOverlap="1" wp14:anchorId="39873299" wp14:editId="58DE7036">
          <wp:simplePos x="0" y="0"/>
          <wp:positionH relativeFrom="page">
            <wp:posOffset>1819275</wp:posOffset>
          </wp:positionH>
          <wp:positionV relativeFrom="paragraph">
            <wp:posOffset>-238125</wp:posOffset>
          </wp:positionV>
          <wp:extent cx="5940425" cy="771525"/>
          <wp:effectExtent l="0" t="0" r="3175" b="9525"/>
          <wp:wrapTight wrapText="bothSides">
            <wp:wrapPolygon edited="0">
              <wp:start x="0" y="0"/>
              <wp:lineTo x="0" y="21333"/>
              <wp:lineTo x="21542" y="21333"/>
              <wp:lineTo x="21542" y="0"/>
              <wp:lineTo x="0" y="0"/>
            </wp:wrapPolygon>
          </wp:wrapTight>
          <wp:docPr id="848984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1F7"/>
    <w:multiLevelType w:val="hybridMultilevel"/>
    <w:tmpl w:val="2B803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B3FCB"/>
    <w:multiLevelType w:val="hybridMultilevel"/>
    <w:tmpl w:val="04FA5DDE"/>
    <w:lvl w:ilvl="0" w:tplc="979E3774">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675586E"/>
    <w:multiLevelType w:val="hybridMultilevel"/>
    <w:tmpl w:val="EFA2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E4F19"/>
    <w:multiLevelType w:val="hybridMultilevel"/>
    <w:tmpl w:val="4C2461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A5720E"/>
    <w:multiLevelType w:val="hybridMultilevel"/>
    <w:tmpl w:val="4F746A0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3450D"/>
    <w:multiLevelType w:val="hybridMultilevel"/>
    <w:tmpl w:val="23003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53F9C"/>
    <w:multiLevelType w:val="hybridMultilevel"/>
    <w:tmpl w:val="34CE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54925"/>
    <w:multiLevelType w:val="hybridMultilevel"/>
    <w:tmpl w:val="95B6D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F6F59"/>
    <w:multiLevelType w:val="hybridMultilevel"/>
    <w:tmpl w:val="27E49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0E0724"/>
    <w:multiLevelType w:val="hybridMultilevel"/>
    <w:tmpl w:val="6DD64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87148A"/>
    <w:multiLevelType w:val="hybridMultilevel"/>
    <w:tmpl w:val="39F25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B61BA"/>
    <w:multiLevelType w:val="hybridMultilevel"/>
    <w:tmpl w:val="12720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4749A"/>
    <w:multiLevelType w:val="hybridMultilevel"/>
    <w:tmpl w:val="3758A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454FF"/>
    <w:multiLevelType w:val="hybridMultilevel"/>
    <w:tmpl w:val="6AAE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F0FB3"/>
    <w:multiLevelType w:val="hybridMultilevel"/>
    <w:tmpl w:val="EB164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BA0A91"/>
    <w:multiLevelType w:val="hybridMultilevel"/>
    <w:tmpl w:val="F19A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94828"/>
    <w:multiLevelType w:val="hybridMultilevel"/>
    <w:tmpl w:val="2342E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663144"/>
    <w:multiLevelType w:val="hybridMultilevel"/>
    <w:tmpl w:val="D67E3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D71D1"/>
    <w:multiLevelType w:val="hybridMultilevel"/>
    <w:tmpl w:val="0AF48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CD31D9"/>
    <w:multiLevelType w:val="hybridMultilevel"/>
    <w:tmpl w:val="3A00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374D7"/>
    <w:multiLevelType w:val="hybridMultilevel"/>
    <w:tmpl w:val="B554D0E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991726"/>
    <w:multiLevelType w:val="hybridMultilevel"/>
    <w:tmpl w:val="273ED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24263"/>
    <w:multiLevelType w:val="hybridMultilevel"/>
    <w:tmpl w:val="9366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12DEC"/>
    <w:multiLevelType w:val="hybridMultilevel"/>
    <w:tmpl w:val="61D47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BB004E"/>
    <w:multiLevelType w:val="hybridMultilevel"/>
    <w:tmpl w:val="7ECAA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250F7"/>
    <w:multiLevelType w:val="hybridMultilevel"/>
    <w:tmpl w:val="3F72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150534">
    <w:abstractNumId w:val="11"/>
  </w:num>
  <w:num w:numId="2" w16cid:durableId="2013338859">
    <w:abstractNumId w:val="3"/>
  </w:num>
  <w:num w:numId="3" w16cid:durableId="718749723">
    <w:abstractNumId w:val="25"/>
  </w:num>
  <w:num w:numId="4" w16cid:durableId="2067604552">
    <w:abstractNumId w:val="6"/>
  </w:num>
  <w:num w:numId="5" w16cid:durableId="1277712172">
    <w:abstractNumId w:val="19"/>
  </w:num>
  <w:num w:numId="6" w16cid:durableId="1916161956">
    <w:abstractNumId w:val="18"/>
  </w:num>
  <w:num w:numId="7" w16cid:durableId="1959142953">
    <w:abstractNumId w:val="24"/>
  </w:num>
  <w:num w:numId="8" w16cid:durableId="771315697">
    <w:abstractNumId w:val="5"/>
  </w:num>
  <w:num w:numId="9" w16cid:durableId="243152298">
    <w:abstractNumId w:val="2"/>
  </w:num>
  <w:num w:numId="10" w16cid:durableId="510267131">
    <w:abstractNumId w:val="17"/>
  </w:num>
  <w:num w:numId="11" w16cid:durableId="2137945344">
    <w:abstractNumId w:val="22"/>
  </w:num>
  <w:num w:numId="12" w16cid:durableId="807093557">
    <w:abstractNumId w:val="9"/>
  </w:num>
  <w:num w:numId="13" w16cid:durableId="840848583">
    <w:abstractNumId w:val="16"/>
  </w:num>
  <w:num w:numId="14" w16cid:durableId="2078166741">
    <w:abstractNumId w:val="0"/>
  </w:num>
  <w:num w:numId="15" w16cid:durableId="1668364198">
    <w:abstractNumId w:val="10"/>
  </w:num>
  <w:num w:numId="16" w16cid:durableId="1701473083">
    <w:abstractNumId w:val="15"/>
  </w:num>
  <w:num w:numId="17" w16cid:durableId="430592477">
    <w:abstractNumId w:val="7"/>
  </w:num>
  <w:num w:numId="18" w16cid:durableId="1933972611">
    <w:abstractNumId w:val="8"/>
  </w:num>
  <w:num w:numId="19" w16cid:durableId="797724222">
    <w:abstractNumId w:val="20"/>
  </w:num>
  <w:num w:numId="20" w16cid:durableId="1879853068">
    <w:abstractNumId w:val="4"/>
  </w:num>
  <w:num w:numId="21" w16cid:durableId="254828230">
    <w:abstractNumId w:val="21"/>
  </w:num>
  <w:num w:numId="22" w16cid:durableId="1067849411">
    <w:abstractNumId w:val="14"/>
  </w:num>
  <w:num w:numId="23" w16cid:durableId="1589928159">
    <w:abstractNumId w:val="12"/>
  </w:num>
  <w:num w:numId="24" w16cid:durableId="476146085">
    <w:abstractNumId w:val="13"/>
  </w:num>
  <w:num w:numId="25" w16cid:durableId="1766146720">
    <w:abstractNumId w:val="23"/>
  </w:num>
  <w:num w:numId="26" w16cid:durableId="77640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z0tx9r22vexwlee5zcv2d92r92sp99dxwfv&quot;&gt;My EndNote Library&lt;record-ids&gt;&lt;item&gt;1&lt;/item&gt;&lt;item&gt;2&lt;/item&gt;&lt;item&gt;3&lt;/item&gt;&lt;item&gt;4&lt;/item&gt;&lt;item&gt;5&lt;/item&gt;&lt;item&gt;6&lt;/item&gt;&lt;item&gt;7&lt;/item&gt;&lt;item&gt;8&lt;/item&gt;&lt;item&gt;9&lt;/item&gt;&lt;item&gt;10&lt;/item&gt;&lt;item&gt;11&lt;/item&gt;&lt;item&gt;12&lt;/item&gt;&lt;item&gt;13&lt;/item&gt;&lt;item&gt;14&lt;/item&gt;&lt;item&gt;15&lt;/item&gt;&lt;/record-ids&gt;&lt;/item&gt;&lt;/Libraries&gt;"/>
  </w:docVars>
  <w:rsids>
    <w:rsidRoot w:val="009537A7"/>
    <w:rsid w:val="0000009B"/>
    <w:rsid w:val="000019EB"/>
    <w:rsid w:val="00026984"/>
    <w:rsid w:val="00027428"/>
    <w:rsid w:val="00044ACD"/>
    <w:rsid w:val="000517C9"/>
    <w:rsid w:val="000524BA"/>
    <w:rsid w:val="000562B7"/>
    <w:rsid w:val="00062963"/>
    <w:rsid w:val="000935BB"/>
    <w:rsid w:val="00095678"/>
    <w:rsid w:val="000A27F4"/>
    <w:rsid w:val="000A3686"/>
    <w:rsid w:val="000B2A8D"/>
    <w:rsid w:val="000C3BD9"/>
    <w:rsid w:val="000C58F9"/>
    <w:rsid w:val="000D0670"/>
    <w:rsid w:val="000D3B9D"/>
    <w:rsid w:val="000D4F88"/>
    <w:rsid w:val="000D5098"/>
    <w:rsid w:val="000E4E32"/>
    <w:rsid w:val="000F3C86"/>
    <w:rsid w:val="000F65B4"/>
    <w:rsid w:val="0010392B"/>
    <w:rsid w:val="001114DA"/>
    <w:rsid w:val="00117EF1"/>
    <w:rsid w:val="00124773"/>
    <w:rsid w:val="00136521"/>
    <w:rsid w:val="00146802"/>
    <w:rsid w:val="00160D6E"/>
    <w:rsid w:val="00167F55"/>
    <w:rsid w:val="00174D86"/>
    <w:rsid w:val="00185230"/>
    <w:rsid w:val="00187C06"/>
    <w:rsid w:val="00190505"/>
    <w:rsid w:val="001A014A"/>
    <w:rsid w:val="001A0725"/>
    <w:rsid w:val="001A1F57"/>
    <w:rsid w:val="001A5599"/>
    <w:rsid w:val="001B79A5"/>
    <w:rsid w:val="001C5CE6"/>
    <w:rsid w:val="001D000B"/>
    <w:rsid w:val="001D1CA7"/>
    <w:rsid w:val="001E29C6"/>
    <w:rsid w:val="001E384A"/>
    <w:rsid w:val="001F621D"/>
    <w:rsid w:val="00203BA2"/>
    <w:rsid w:val="002042E1"/>
    <w:rsid w:val="00204DE4"/>
    <w:rsid w:val="0020532A"/>
    <w:rsid w:val="002163AC"/>
    <w:rsid w:val="00216E37"/>
    <w:rsid w:val="0022300E"/>
    <w:rsid w:val="00232FC1"/>
    <w:rsid w:val="0023308A"/>
    <w:rsid w:val="00234F1B"/>
    <w:rsid w:val="00243F84"/>
    <w:rsid w:val="00264E48"/>
    <w:rsid w:val="00276F2E"/>
    <w:rsid w:val="00280A02"/>
    <w:rsid w:val="002848D4"/>
    <w:rsid w:val="002A7979"/>
    <w:rsid w:val="002B1395"/>
    <w:rsid w:val="002B25C4"/>
    <w:rsid w:val="002B2D8E"/>
    <w:rsid w:val="002C6F09"/>
    <w:rsid w:val="002D3A2D"/>
    <w:rsid w:val="002D61B5"/>
    <w:rsid w:val="002E34E1"/>
    <w:rsid w:val="002E5B93"/>
    <w:rsid w:val="002F1046"/>
    <w:rsid w:val="00305753"/>
    <w:rsid w:val="00320235"/>
    <w:rsid w:val="00343AF5"/>
    <w:rsid w:val="00343E2B"/>
    <w:rsid w:val="0034796C"/>
    <w:rsid w:val="0035298F"/>
    <w:rsid w:val="00360A19"/>
    <w:rsid w:val="00360A28"/>
    <w:rsid w:val="003665C7"/>
    <w:rsid w:val="00370C03"/>
    <w:rsid w:val="00383C69"/>
    <w:rsid w:val="0039097C"/>
    <w:rsid w:val="00391546"/>
    <w:rsid w:val="003A57D1"/>
    <w:rsid w:val="003A5B71"/>
    <w:rsid w:val="003A5D47"/>
    <w:rsid w:val="003C498E"/>
    <w:rsid w:val="003D141E"/>
    <w:rsid w:val="003D1A00"/>
    <w:rsid w:val="003F28B0"/>
    <w:rsid w:val="0040046B"/>
    <w:rsid w:val="00406BA9"/>
    <w:rsid w:val="00406EDE"/>
    <w:rsid w:val="00414FC0"/>
    <w:rsid w:val="004154FD"/>
    <w:rsid w:val="004177AE"/>
    <w:rsid w:val="00431FA1"/>
    <w:rsid w:val="00434D37"/>
    <w:rsid w:val="0043728F"/>
    <w:rsid w:val="004500F7"/>
    <w:rsid w:val="00450FB9"/>
    <w:rsid w:val="004541F7"/>
    <w:rsid w:val="00461210"/>
    <w:rsid w:val="00466003"/>
    <w:rsid w:val="00466BC9"/>
    <w:rsid w:val="00467141"/>
    <w:rsid w:val="00471D7D"/>
    <w:rsid w:val="00485DA7"/>
    <w:rsid w:val="00492B6F"/>
    <w:rsid w:val="0049567D"/>
    <w:rsid w:val="00497454"/>
    <w:rsid w:val="004A73FD"/>
    <w:rsid w:val="004A7E8A"/>
    <w:rsid w:val="004B6CD1"/>
    <w:rsid w:val="004C306E"/>
    <w:rsid w:val="004C4206"/>
    <w:rsid w:val="004C7938"/>
    <w:rsid w:val="004D39DB"/>
    <w:rsid w:val="004E157F"/>
    <w:rsid w:val="004F0364"/>
    <w:rsid w:val="004F39A2"/>
    <w:rsid w:val="004F6FF8"/>
    <w:rsid w:val="004F78E0"/>
    <w:rsid w:val="00501778"/>
    <w:rsid w:val="00502F2B"/>
    <w:rsid w:val="00505226"/>
    <w:rsid w:val="00511B0B"/>
    <w:rsid w:val="0051402C"/>
    <w:rsid w:val="00516539"/>
    <w:rsid w:val="0052760C"/>
    <w:rsid w:val="005303EE"/>
    <w:rsid w:val="005403AB"/>
    <w:rsid w:val="00547F74"/>
    <w:rsid w:val="00550DF6"/>
    <w:rsid w:val="005613F1"/>
    <w:rsid w:val="00566F7B"/>
    <w:rsid w:val="00567FAB"/>
    <w:rsid w:val="00581A54"/>
    <w:rsid w:val="005902B2"/>
    <w:rsid w:val="005A4245"/>
    <w:rsid w:val="005C49BF"/>
    <w:rsid w:val="005C56ED"/>
    <w:rsid w:val="005D1726"/>
    <w:rsid w:val="005D477D"/>
    <w:rsid w:val="005D630D"/>
    <w:rsid w:val="005F2F46"/>
    <w:rsid w:val="006112DE"/>
    <w:rsid w:val="0061363A"/>
    <w:rsid w:val="00622DEE"/>
    <w:rsid w:val="006264F6"/>
    <w:rsid w:val="006426C1"/>
    <w:rsid w:val="00647CF6"/>
    <w:rsid w:val="006601D0"/>
    <w:rsid w:val="0066098D"/>
    <w:rsid w:val="006632F0"/>
    <w:rsid w:val="00663B79"/>
    <w:rsid w:val="00670ADF"/>
    <w:rsid w:val="006860CE"/>
    <w:rsid w:val="006917B7"/>
    <w:rsid w:val="006963F2"/>
    <w:rsid w:val="006A2C0D"/>
    <w:rsid w:val="006A7BF8"/>
    <w:rsid w:val="006B7245"/>
    <w:rsid w:val="006C2661"/>
    <w:rsid w:val="006C6947"/>
    <w:rsid w:val="006E327B"/>
    <w:rsid w:val="006F08B1"/>
    <w:rsid w:val="006F6409"/>
    <w:rsid w:val="00724B70"/>
    <w:rsid w:val="00732D32"/>
    <w:rsid w:val="00733A65"/>
    <w:rsid w:val="00757491"/>
    <w:rsid w:val="007720C6"/>
    <w:rsid w:val="00782A7E"/>
    <w:rsid w:val="0078488C"/>
    <w:rsid w:val="0079685A"/>
    <w:rsid w:val="007A2EC7"/>
    <w:rsid w:val="007A30F8"/>
    <w:rsid w:val="007A4A9D"/>
    <w:rsid w:val="007C3B8C"/>
    <w:rsid w:val="007C4BEC"/>
    <w:rsid w:val="007C65B0"/>
    <w:rsid w:val="007D5DE1"/>
    <w:rsid w:val="007F0D71"/>
    <w:rsid w:val="007F49C3"/>
    <w:rsid w:val="007F7621"/>
    <w:rsid w:val="008012CB"/>
    <w:rsid w:val="00802E9E"/>
    <w:rsid w:val="0081111B"/>
    <w:rsid w:val="00812501"/>
    <w:rsid w:val="0081269B"/>
    <w:rsid w:val="008209FC"/>
    <w:rsid w:val="00821E34"/>
    <w:rsid w:val="008325E8"/>
    <w:rsid w:val="008445DB"/>
    <w:rsid w:val="008468E8"/>
    <w:rsid w:val="0085243F"/>
    <w:rsid w:val="0086501F"/>
    <w:rsid w:val="008653EB"/>
    <w:rsid w:val="00866AF8"/>
    <w:rsid w:val="00871A09"/>
    <w:rsid w:val="00876664"/>
    <w:rsid w:val="00880B54"/>
    <w:rsid w:val="008907C6"/>
    <w:rsid w:val="008A2211"/>
    <w:rsid w:val="008A7CCB"/>
    <w:rsid w:val="008B473B"/>
    <w:rsid w:val="008C0480"/>
    <w:rsid w:val="008C2092"/>
    <w:rsid w:val="008C6450"/>
    <w:rsid w:val="008E1C06"/>
    <w:rsid w:val="008E5AF2"/>
    <w:rsid w:val="008F1E3E"/>
    <w:rsid w:val="008F3D6A"/>
    <w:rsid w:val="00917205"/>
    <w:rsid w:val="00923719"/>
    <w:rsid w:val="00924EDD"/>
    <w:rsid w:val="009441A9"/>
    <w:rsid w:val="009478A0"/>
    <w:rsid w:val="00950352"/>
    <w:rsid w:val="009537A7"/>
    <w:rsid w:val="00960396"/>
    <w:rsid w:val="00964616"/>
    <w:rsid w:val="00964B15"/>
    <w:rsid w:val="00974CA8"/>
    <w:rsid w:val="0098703C"/>
    <w:rsid w:val="009915AA"/>
    <w:rsid w:val="00994D07"/>
    <w:rsid w:val="009A62FA"/>
    <w:rsid w:val="009B213E"/>
    <w:rsid w:val="009C13E8"/>
    <w:rsid w:val="009C28B7"/>
    <w:rsid w:val="009C7A57"/>
    <w:rsid w:val="009D002B"/>
    <w:rsid w:val="009D1D4B"/>
    <w:rsid w:val="009D2359"/>
    <w:rsid w:val="009D6C97"/>
    <w:rsid w:val="009F7908"/>
    <w:rsid w:val="00A01100"/>
    <w:rsid w:val="00A03530"/>
    <w:rsid w:val="00A0603F"/>
    <w:rsid w:val="00A22598"/>
    <w:rsid w:val="00A27678"/>
    <w:rsid w:val="00A34AE5"/>
    <w:rsid w:val="00A35A8F"/>
    <w:rsid w:val="00A3676F"/>
    <w:rsid w:val="00A533E2"/>
    <w:rsid w:val="00A55077"/>
    <w:rsid w:val="00A61BEB"/>
    <w:rsid w:val="00A649C8"/>
    <w:rsid w:val="00A65227"/>
    <w:rsid w:val="00A92DD6"/>
    <w:rsid w:val="00A94B80"/>
    <w:rsid w:val="00A96A28"/>
    <w:rsid w:val="00A977F3"/>
    <w:rsid w:val="00AA22BC"/>
    <w:rsid w:val="00AA3673"/>
    <w:rsid w:val="00AB2B4A"/>
    <w:rsid w:val="00AC21FA"/>
    <w:rsid w:val="00AC3517"/>
    <w:rsid w:val="00AD1433"/>
    <w:rsid w:val="00AD5AF5"/>
    <w:rsid w:val="00AF5B0C"/>
    <w:rsid w:val="00AF5BE7"/>
    <w:rsid w:val="00B04A3C"/>
    <w:rsid w:val="00B05C64"/>
    <w:rsid w:val="00B348B1"/>
    <w:rsid w:val="00B36523"/>
    <w:rsid w:val="00B44B2F"/>
    <w:rsid w:val="00B470E3"/>
    <w:rsid w:val="00B51459"/>
    <w:rsid w:val="00B54ED1"/>
    <w:rsid w:val="00B55829"/>
    <w:rsid w:val="00B57ACA"/>
    <w:rsid w:val="00B71B57"/>
    <w:rsid w:val="00B801B2"/>
    <w:rsid w:val="00B82FA6"/>
    <w:rsid w:val="00B83DAB"/>
    <w:rsid w:val="00B86E10"/>
    <w:rsid w:val="00BA19CD"/>
    <w:rsid w:val="00BA1F37"/>
    <w:rsid w:val="00BB072A"/>
    <w:rsid w:val="00BD0F86"/>
    <w:rsid w:val="00BD45FE"/>
    <w:rsid w:val="00BE0367"/>
    <w:rsid w:val="00BF0431"/>
    <w:rsid w:val="00BF5E3B"/>
    <w:rsid w:val="00C10A39"/>
    <w:rsid w:val="00C12B61"/>
    <w:rsid w:val="00C2235F"/>
    <w:rsid w:val="00C223F2"/>
    <w:rsid w:val="00C22B23"/>
    <w:rsid w:val="00C248A7"/>
    <w:rsid w:val="00C319EC"/>
    <w:rsid w:val="00C358C6"/>
    <w:rsid w:val="00C35CE6"/>
    <w:rsid w:val="00C428A3"/>
    <w:rsid w:val="00C5054C"/>
    <w:rsid w:val="00C70758"/>
    <w:rsid w:val="00C73ECC"/>
    <w:rsid w:val="00C857D5"/>
    <w:rsid w:val="00C85C1B"/>
    <w:rsid w:val="00C86A24"/>
    <w:rsid w:val="00C94BA1"/>
    <w:rsid w:val="00CC0962"/>
    <w:rsid w:val="00CC179A"/>
    <w:rsid w:val="00CD6757"/>
    <w:rsid w:val="00CD7EE7"/>
    <w:rsid w:val="00CE334F"/>
    <w:rsid w:val="00CE7E19"/>
    <w:rsid w:val="00CF406C"/>
    <w:rsid w:val="00CF4E9A"/>
    <w:rsid w:val="00D02133"/>
    <w:rsid w:val="00D0564C"/>
    <w:rsid w:val="00D113D3"/>
    <w:rsid w:val="00D12C12"/>
    <w:rsid w:val="00D215BE"/>
    <w:rsid w:val="00D26274"/>
    <w:rsid w:val="00D2745A"/>
    <w:rsid w:val="00D27CC0"/>
    <w:rsid w:val="00D3032D"/>
    <w:rsid w:val="00D53F4A"/>
    <w:rsid w:val="00D5512E"/>
    <w:rsid w:val="00D6627F"/>
    <w:rsid w:val="00D72D58"/>
    <w:rsid w:val="00D81899"/>
    <w:rsid w:val="00D86AC8"/>
    <w:rsid w:val="00D94B37"/>
    <w:rsid w:val="00D97809"/>
    <w:rsid w:val="00D97F15"/>
    <w:rsid w:val="00DC031D"/>
    <w:rsid w:val="00DC75D2"/>
    <w:rsid w:val="00DD31B6"/>
    <w:rsid w:val="00DE1DFB"/>
    <w:rsid w:val="00DE534E"/>
    <w:rsid w:val="00DE709E"/>
    <w:rsid w:val="00E02896"/>
    <w:rsid w:val="00E07009"/>
    <w:rsid w:val="00E10289"/>
    <w:rsid w:val="00E1041E"/>
    <w:rsid w:val="00E13F1D"/>
    <w:rsid w:val="00E204C6"/>
    <w:rsid w:val="00E24E1B"/>
    <w:rsid w:val="00E26FFB"/>
    <w:rsid w:val="00E270A0"/>
    <w:rsid w:val="00E315B4"/>
    <w:rsid w:val="00E331A1"/>
    <w:rsid w:val="00E510C3"/>
    <w:rsid w:val="00E56509"/>
    <w:rsid w:val="00E66A6A"/>
    <w:rsid w:val="00E74D82"/>
    <w:rsid w:val="00E84866"/>
    <w:rsid w:val="00E86C46"/>
    <w:rsid w:val="00E9402A"/>
    <w:rsid w:val="00EA3CA0"/>
    <w:rsid w:val="00EA5EDF"/>
    <w:rsid w:val="00EB5845"/>
    <w:rsid w:val="00EC4B2A"/>
    <w:rsid w:val="00ED67EC"/>
    <w:rsid w:val="00EE0142"/>
    <w:rsid w:val="00EF27B6"/>
    <w:rsid w:val="00EF2882"/>
    <w:rsid w:val="00EF3976"/>
    <w:rsid w:val="00EF6E18"/>
    <w:rsid w:val="00F048E8"/>
    <w:rsid w:val="00F14FD6"/>
    <w:rsid w:val="00F21AD2"/>
    <w:rsid w:val="00F229F9"/>
    <w:rsid w:val="00F23D59"/>
    <w:rsid w:val="00F32DF4"/>
    <w:rsid w:val="00F331D6"/>
    <w:rsid w:val="00F51F05"/>
    <w:rsid w:val="00F61A64"/>
    <w:rsid w:val="00F86B9B"/>
    <w:rsid w:val="00F91A51"/>
    <w:rsid w:val="00F9585E"/>
    <w:rsid w:val="00FB4EA0"/>
    <w:rsid w:val="00FD03F0"/>
    <w:rsid w:val="00FD1932"/>
    <w:rsid w:val="00FD29F9"/>
    <w:rsid w:val="00FE3C2C"/>
    <w:rsid w:val="00FF1394"/>
    <w:rsid w:val="00FF6A4C"/>
    <w:rsid w:val="00FF6A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26542"/>
  <w15:chartTrackingRefBased/>
  <w15:docId w15:val="{9A8CA921-65E4-44C1-BE46-958375204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7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37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37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37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37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37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37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37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37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7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37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37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37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37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37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37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37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37A7"/>
    <w:rPr>
      <w:rFonts w:eastAsiaTheme="majorEastAsia" w:cstheme="majorBidi"/>
      <w:color w:val="272727" w:themeColor="text1" w:themeTint="D8"/>
    </w:rPr>
  </w:style>
  <w:style w:type="paragraph" w:styleId="Title">
    <w:name w:val="Title"/>
    <w:basedOn w:val="Normal"/>
    <w:next w:val="Normal"/>
    <w:link w:val="TitleChar"/>
    <w:uiPriority w:val="10"/>
    <w:qFormat/>
    <w:rsid w:val="009537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7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37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37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37A7"/>
    <w:pPr>
      <w:spacing w:before="160"/>
      <w:jc w:val="center"/>
    </w:pPr>
    <w:rPr>
      <w:i/>
      <w:iCs/>
      <w:color w:val="404040" w:themeColor="text1" w:themeTint="BF"/>
    </w:rPr>
  </w:style>
  <w:style w:type="character" w:customStyle="1" w:styleId="QuoteChar">
    <w:name w:val="Quote Char"/>
    <w:basedOn w:val="DefaultParagraphFont"/>
    <w:link w:val="Quote"/>
    <w:uiPriority w:val="29"/>
    <w:rsid w:val="009537A7"/>
    <w:rPr>
      <w:i/>
      <w:iCs/>
      <w:color w:val="404040" w:themeColor="text1" w:themeTint="BF"/>
    </w:rPr>
  </w:style>
  <w:style w:type="paragraph" w:styleId="ListParagraph">
    <w:name w:val="List Paragraph"/>
    <w:basedOn w:val="Normal"/>
    <w:uiPriority w:val="34"/>
    <w:qFormat/>
    <w:rsid w:val="009537A7"/>
    <w:pPr>
      <w:ind w:left="720"/>
      <w:contextualSpacing/>
    </w:pPr>
  </w:style>
  <w:style w:type="character" w:styleId="IntenseEmphasis">
    <w:name w:val="Intense Emphasis"/>
    <w:basedOn w:val="DefaultParagraphFont"/>
    <w:uiPriority w:val="21"/>
    <w:qFormat/>
    <w:rsid w:val="009537A7"/>
    <w:rPr>
      <w:i/>
      <w:iCs/>
      <w:color w:val="2F5496" w:themeColor="accent1" w:themeShade="BF"/>
    </w:rPr>
  </w:style>
  <w:style w:type="paragraph" w:styleId="IntenseQuote">
    <w:name w:val="Intense Quote"/>
    <w:basedOn w:val="Normal"/>
    <w:next w:val="Normal"/>
    <w:link w:val="IntenseQuoteChar"/>
    <w:uiPriority w:val="30"/>
    <w:qFormat/>
    <w:rsid w:val="009537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37A7"/>
    <w:rPr>
      <w:i/>
      <w:iCs/>
      <w:color w:val="2F5496" w:themeColor="accent1" w:themeShade="BF"/>
    </w:rPr>
  </w:style>
  <w:style w:type="character" w:styleId="IntenseReference">
    <w:name w:val="Intense Reference"/>
    <w:basedOn w:val="DefaultParagraphFont"/>
    <w:uiPriority w:val="32"/>
    <w:qFormat/>
    <w:rsid w:val="009537A7"/>
    <w:rPr>
      <w:b/>
      <w:bCs/>
      <w:smallCaps/>
      <w:color w:val="2F5496" w:themeColor="accent1" w:themeShade="BF"/>
      <w:spacing w:val="5"/>
    </w:rPr>
  </w:style>
  <w:style w:type="table" w:styleId="TableGrid">
    <w:name w:val="Table Grid"/>
    <w:basedOn w:val="TableNormal"/>
    <w:uiPriority w:val="39"/>
    <w:rsid w:val="00093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019E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E74D82"/>
    <w:pPr>
      <w:spacing w:after="200" w:line="240" w:lineRule="auto"/>
    </w:pPr>
    <w:rPr>
      <w:i/>
      <w:iCs/>
      <w:color w:val="44546A" w:themeColor="text2"/>
      <w:sz w:val="18"/>
      <w:szCs w:val="18"/>
    </w:rPr>
  </w:style>
  <w:style w:type="table" w:styleId="GridTable4">
    <w:name w:val="Grid Table 4"/>
    <w:basedOn w:val="TableNormal"/>
    <w:uiPriority w:val="49"/>
    <w:rsid w:val="00782A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6963F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EndNoteBibliographyTitle">
    <w:name w:val="EndNote Bibliography Title"/>
    <w:basedOn w:val="Normal"/>
    <w:link w:val="EndNoteBibliographyTitleChar"/>
    <w:rsid w:val="00AA22BC"/>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AA22BC"/>
    <w:rPr>
      <w:rFonts w:ascii="Calibri" w:hAnsi="Calibri" w:cs="Calibri"/>
      <w:noProof/>
    </w:rPr>
  </w:style>
  <w:style w:type="paragraph" w:customStyle="1" w:styleId="EndNoteBibliography">
    <w:name w:val="EndNote Bibliography"/>
    <w:basedOn w:val="Normal"/>
    <w:link w:val="EndNoteBibliographyChar"/>
    <w:rsid w:val="00AA22BC"/>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AA22BC"/>
    <w:rPr>
      <w:rFonts w:ascii="Calibri" w:hAnsi="Calibri" w:cs="Calibri"/>
      <w:noProof/>
    </w:rPr>
  </w:style>
  <w:style w:type="paragraph" w:styleId="Header">
    <w:name w:val="header"/>
    <w:basedOn w:val="Normal"/>
    <w:link w:val="HeaderChar"/>
    <w:uiPriority w:val="99"/>
    <w:unhideWhenUsed/>
    <w:rsid w:val="00B83D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DAB"/>
  </w:style>
  <w:style w:type="paragraph" w:styleId="Footer">
    <w:name w:val="footer"/>
    <w:basedOn w:val="Normal"/>
    <w:link w:val="FooterChar"/>
    <w:uiPriority w:val="99"/>
    <w:unhideWhenUsed/>
    <w:rsid w:val="00B83D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DAB"/>
  </w:style>
  <w:style w:type="table" w:styleId="PlainTable2">
    <w:name w:val="Plain Table 2"/>
    <w:basedOn w:val="TableNormal"/>
    <w:uiPriority w:val="42"/>
    <w:rsid w:val="00D6627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3202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32023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FEAD7-579D-4A16-964C-5008CE58F113}" type="doc">
      <dgm:prSet loTypeId="urn:microsoft.com/office/officeart/2005/8/layout/cycle3" loCatId="cycle" qsTypeId="urn:microsoft.com/office/officeart/2005/8/quickstyle/simple3" qsCatId="simple" csTypeId="urn:microsoft.com/office/officeart/2005/8/colors/accent0_1" csCatId="mainScheme" phldr="1"/>
      <dgm:spPr/>
      <dgm:t>
        <a:bodyPr/>
        <a:lstStyle/>
        <a:p>
          <a:endParaRPr lang="en-US"/>
        </a:p>
      </dgm:t>
    </dgm:pt>
    <dgm:pt modelId="{A484C970-32BC-424E-BF0C-8429AABB04C8}">
      <dgm:prSet phldrT="[Text]"/>
      <dgm:spPr/>
      <dgm:t>
        <a:bodyPr/>
        <a:lstStyle/>
        <a:p>
          <a:r>
            <a:rPr lang="en-US">
              <a:latin typeface="Times New Roman" panose="02020603050405020304" pitchFamily="18" charset="0"/>
              <a:cs typeface="Times New Roman" panose="02020603050405020304" pitchFamily="18" charset="0"/>
            </a:rPr>
            <a:t>Near-Miss Capture &amp; Analysis</a:t>
          </a:r>
        </a:p>
      </dgm:t>
    </dgm:pt>
    <dgm:pt modelId="{ADBDACDA-E2A9-4E50-A8B2-D6076ED2A90D}" type="parTrans" cxnId="{0694DABD-0327-4AC7-B1E2-811B974303DE}">
      <dgm:prSet/>
      <dgm:spPr/>
      <dgm:t>
        <a:bodyPr/>
        <a:lstStyle/>
        <a:p>
          <a:endParaRPr lang="en-US"/>
        </a:p>
      </dgm:t>
    </dgm:pt>
    <dgm:pt modelId="{EC177CC2-CC72-48DE-8AE4-EA39F6572B4B}" type="sibTrans" cxnId="{0694DABD-0327-4AC7-B1E2-811B974303DE}">
      <dgm:prSet/>
      <dgm:spPr/>
      <dgm:t>
        <a:bodyPr/>
        <a:lstStyle/>
        <a:p>
          <a:endParaRPr lang="en-US"/>
        </a:p>
      </dgm:t>
    </dgm:pt>
    <dgm:pt modelId="{6D23AA87-EDFF-449F-A723-FFE2DF1AC7AD}">
      <dgm:prSet phldrT="[Text]"/>
      <dgm:spPr/>
      <dgm:t>
        <a:bodyPr/>
        <a:lstStyle/>
        <a:p>
          <a:r>
            <a:rPr lang="en-US">
              <a:latin typeface="Times New Roman" panose="02020603050405020304" pitchFamily="18" charset="0"/>
              <a:cs typeface="Times New Roman" panose="02020603050405020304" pitchFamily="18" charset="0"/>
            </a:rPr>
            <a:t>Scenario Engineering</a:t>
          </a:r>
        </a:p>
      </dgm:t>
    </dgm:pt>
    <dgm:pt modelId="{29467717-5B72-4E63-A268-BA293B6B7DE8}" type="parTrans" cxnId="{0704E786-0CD8-4396-A516-0F544ADB8D3F}">
      <dgm:prSet/>
      <dgm:spPr/>
      <dgm:t>
        <a:bodyPr/>
        <a:lstStyle/>
        <a:p>
          <a:endParaRPr lang="en-US"/>
        </a:p>
      </dgm:t>
    </dgm:pt>
    <dgm:pt modelId="{6ADB52CF-94FF-439F-B1D6-AE00D91AC077}" type="sibTrans" cxnId="{0704E786-0CD8-4396-A516-0F544ADB8D3F}">
      <dgm:prSet/>
      <dgm:spPr/>
      <dgm:t>
        <a:bodyPr/>
        <a:lstStyle/>
        <a:p>
          <a:endParaRPr lang="en-US"/>
        </a:p>
      </dgm:t>
    </dgm:pt>
    <dgm:pt modelId="{4E27D7A7-A84C-4317-852C-7A7499D75856}">
      <dgm:prSet phldrT="[Text]"/>
      <dgm:spPr/>
      <dgm:t>
        <a:bodyPr/>
        <a:lstStyle/>
        <a:p>
          <a:r>
            <a:rPr lang="en-US">
              <a:latin typeface="Times New Roman" panose="02020603050405020304" pitchFamily="18" charset="0"/>
              <a:cs typeface="Times New Roman" panose="02020603050405020304" pitchFamily="18" charset="0"/>
            </a:rPr>
            <a:t>Simulation &amp; Practice</a:t>
          </a:r>
        </a:p>
      </dgm:t>
    </dgm:pt>
    <dgm:pt modelId="{07ED5F8E-C2B2-44FB-9AC9-12DB61A3B152}" type="parTrans" cxnId="{35E3C4E8-948B-4149-B221-E976AD13ACCF}">
      <dgm:prSet/>
      <dgm:spPr/>
      <dgm:t>
        <a:bodyPr/>
        <a:lstStyle/>
        <a:p>
          <a:endParaRPr lang="en-US"/>
        </a:p>
      </dgm:t>
    </dgm:pt>
    <dgm:pt modelId="{BB5504B2-393D-4164-9AAF-3D8533E766C9}" type="sibTrans" cxnId="{35E3C4E8-948B-4149-B221-E976AD13ACCF}">
      <dgm:prSet/>
      <dgm:spPr/>
      <dgm:t>
        <a:bodyPr/>
        <a:lstStyle/>
        <a:p>
          <a:endParaRPr lang="en-US"/>
        </a:p>
      </dgm:t>
    </dgm:pt>
    <dgm:pt modelId="{2EC46FA2-D97E-4F86-A79F-1F376C888398}">
      <dgm:prSet phldrT="[Text]"/>
      <dgm:spPr/>
      <dgm:t>
        <a:bodyPr/>
        <a:lstStyle/>
        <a:p>
          <a:r>
            <a:rPr lang="en-US">
              <a:latin typeface="Times New Roman" panose="02020603050405020304" pitchFamily="18" charset="0"/>
              <a:cs typeface="Times New Roman" panose="02020603050405020304" pitchFamily="18" charset="0"/>
            </a:rPr>
            <a:t>Rapid Feedback &amp; Debrief</a:t>
          </a:r>
        </a:p>
      </dgm:t>
    </dgm:pt>
    <dgm:pt modelId="{4B53694C-618B-43AF-8AEA-3D84836B57FB}" type="parTrans" cxnId="{5BD7F125-2695-497A-B6E1-692AA57C2C69}">
      <dgm:prSet/>
      <dgm:spPr/>
      <dgm:t>
        <a:bodyPr/>
        <a:lstStyle/>
        <a:p>
          <a:endParaRPr lang="en-US"/>
        </a:p>
      </dgm:t>
    </dgm:pt>
    <dgm:pt modelId="{DF35B43A-E35D-46D0-8053-E372AC7C66F1}" type="sibTrans" cxnId="{5BD7F125-2695-497A-B6E1-692AA57C2C69}">
      <dgm:prSet/>
      <dgm:spPr/>
      <dgm:t>
        <a:bodyPr/>
        <a:lstStyle/>
        <a:p>
          <a:endParaRPr lang="en-US"/>
        </a:p>
      </dgm:t>
    </dgm:pt>
    <dgm:pt modelId="{FB2A72B5-66F4-4C78-880F-E74C77510D55}">
      <dgm:prSet phldrT="[Text]"/>
      <dgm:spPr/>
      <dgm:t>
        <a:bodyPr/>
        <a:lstStyle/>
        <a:p>
          <a:r>
            <a:rPr lang="en-US">
              <a:latin typeface="Times New Roman" panose="02020603050405020304" pitchFamily="18" charset="0"/>
              <a:cs typeface="Times New Roman" panose="02020603050405020304" pitchFamily="18" charset="0"/>
            </a:rPr>
            <a:t>Update &amp; Strengthening</a:t>
          </a:r>
        </a:p>
      </dgm:t>
    </dgm:pt>
    <dgm:pt modelId="{C57DF1D8-650F-4217-8A1C-A253599BCB78}" type="parTrans" cxnId="{412A767A-4411-4D71-B836-40FF86A2249B}">
      <dgm:prSet/>
      <dgm:spPr/>
      <dgm:t>
        <a:bodyPr/>
        <a:lstStyle/>
        <a:p>
          <a:endParaRPr lang="en-US"/>
        </a:p>
      </dgm:t>
    </dgm:pt>
    <dgm:pt modelId="{BC73C3E0-AEE1-43D3-8909-CF89A8184E1F}" type="sibTrans" cxnId="{412A767A-4411-4D71-B836-40FF86A2249B}">
      <dgm:prSet/>
      <dgm:spPr/>
      <dgm:t>
        <a:bodyPr/>
        <a:lstStyle/>
        <a:p>
          <a:endParaRPr lang="en-US"/>
        </a:p>
      </dgm:t>
    </dgm:pt>
    <dgm:pt modelId="{F1B1A545-D8CE-460F-9201-FFB139EEC8F3}" type="pres">
      <dgm:prSet presAssocID="{0CAFEAD7-579D-4A16-964C-5008CE58F113}" presName="Name0" presStyleCnt="0">
        <dgm:presLayoutVars>
          <dgm:dir/>
          <dgm:resizeHandles val="exact"/>
        </dgm:presLayoutVars>
      </dgm:prSet>
      <dgm:spPr/>
    </dgm:pt>
    <dgm:pt modelId="{36963780-D513-4D78-8A5C-A29E8AA7D494}" type="pres">
      <dgm:prSet presAssocID="{0CAFEAD7-579D-4A16-964C-5008CE58F113}" presName="cycle" presStyleCnt="0"/>
      <dgm:spPr/>
    </dgm:pt>
    <dgm:pt modelId="{E96B5240-AFDD-4F92-A759-7CA34997319D}" type="pres">
      <dgm:prSet presAssocID="{A484C970-32BC-424E-BF0C-8429AABB04C8}" presName="nodeFirstNode" presStyleLbl="node1" presStyleIdx="0" presStyleCnt="5">
        <dgm:presLayoutVars>
          <dgm:bulletEnabled val="1"/>
        </dgm:presLayoutVars>
      </dgm:prSet>
      <dgm:spPr/>
    </dgm:pt>
    <dgm:pt modelId="{E7729CF1-1D25-4986-9A98-733EBBD3F712}" type="pres">
      <dgm:prSet presAssocID="{EC177CC2-CC72-48DE-8AE4-EA39F6572B4B}" presName="sibTransFirstNode" presStyleLbl="bgShp" presStyleIdx="0" presStyleCnt="1"/>
      <dgm:spPr/>
    </dgm:pt>
    <dgm:pt modelId="{2AC670D3-17FF-44DF-95B6-E197F7C2176A}" type="pres">
      <dgm:prSet presAssocID="{6D23AA87-EDFF-449F-A723-FFE2DF1AC7AD}" presName="nodeFollowingNodes" presStyleLbl="node1" presStyleIdx="1" presStyleCnt="5">
        <dgm:presLayoutVars>
          <dgm:bulletEnabled val="1"/>
        </dgm:presLayoutVars>
      </dgm:prSet>
      <dgm:spPr/>
    </dgm:pt>
    <dgm:pt modelId="{466BE580-659F-49E1-B823-E91C84802BAF}" type="pres">
      <dgm:prSet presAssocID="{4E27D7A7-A84C-4317-852C-7A7499D75856}" presName="nodeFollowingNodes" presStyleLbl="node1" presStyleIdx="2" presStyleCnt="5">
        <dgm:presLayoutVars>
          <dgm:bulletEnabled val="1"/>
        </dgm:presLayoutVars>
      </dgm:prSet>
      <dgm:spPr/>
    </dgm:pt>
    <dgm:pt modelId="{DAD85513-336C-4233-919B-8CB847F6D394}" type="pres">
      <dgm:prSet presAssocID="{2EC46FA2-D97E-4F86-A79F-1F376C888398}" presName="nodeFollowingNodes" presStyleLbl="node1" presStyleIdx="3" presStyleCnt="5">
        <dgm:presLayoutVars>
          <dgm:bulletEnabled val="1"/>
        </dgm:presLayoutVars>
      </dgm:prSet>
      <dgm:spPr/>
    </dgm:pt>
    <dgm:pt modelId="{83CAA1FF-8AAC-4733-9D8B-8B0E86543B3E}" type="pres">
      <dgm:prSet presAssocID="{FB2A72B5-66F4-4C78-880F-E74C77510D55}" presName="nodeFollowingNodes" presStyleLbl="node1" presStyleIdx="4" presStyleCnt="5">
        <dgm:presLayoutVars>
          <dgm:bulletEnabled val="1"/>
        </dgm:presLayoutVars>
      </dgm:prSet>
      <dgm:spPr/>
    </dgm:pt>
  </dgm:ptLst>
  <dgm:cxnLst>
    <dgm:cxn modelId="{7BD10A0D-5051-4D7F-BF7B-C837E0EFEAE7}" type="presOf" srcId="{A484C970-32BC-424E-BF0C-8429AABB04C8}" destId="{E96B5240-AFDD-4F92-A759-7CA34997319D}" srcOrd="0" destOrd="0" presId="urn:microsoft.com/office/officeart/2005/8/layout/cycle3"/>
    <dgm:cxn modelId="{9D83931B-7790-4CBC-813B-5D380B046C2C}" type="presOf" srcId="{2EC46FA2-D97E-4F86-A79F-1F376C888398}" destId="{DAD85513-336C-4233-919B-8CB847F6D394}" srcOrd="0" destOrd="0" presId="urn:microsoft.com/office/officeart/2005/8/layout/cycle3"/>
    <dgm:cxn modelId="{5BD7F125-2695-497A-B6E1-692AA57C2C69}" srcId="{0CAFEAD7-579D-4A16-964C-5008CE58F113}" destId="{2EC46FA2-D97E-4F86-A79F-1F376C888398}" srcOrd="3" destOrd="0" parTransId="{4B53694C-618B-43AF-8AEA-3D84836B57FB}" sibTransId="{DF35B43A-E35D-46D0-8053-E372AC7C66F1}"/>
    <dgm:cxn modelId="{A743053F-0B12-4387-81C6-D3D3F5C3415A}" type="presOf" srcId="{6D23AA87-EDFF-449F-A723-FFE2DF1AC7AD}" destId="{2AC670D3-17FF-44DF-95B6-E197F7C2176A}" srcOrd="0" destOrd="0" presId="urn:microsoft.com/office/officeart/2005/8/layout/cycle3"/>
    <dgm:cxn modelId="{2AFA8840-7B47-46B7-83DB-48653DCD6896}" type="presOf" srcId="{EC177CC2-CC72-48DE-8AE4-EA39F6572B4B}" destId="{E7729CF1-1D25-4986-9A98-733EBBD3F712}" srcOrd="0" destOrd="0" presId="urn:microsoft.com/office/officeart/2005/8/layout/cycle3"/>
    <dgm:cxn modelId="{2F6FE64D-87D9-4030-AB50-57924A06D82A}" type="presOf" srcId="{FB2A72B5-66F4-4C78-880F-E74C77510D55}" destId="{83CAA1FF-8AAC-4733-9D8B-8B0E86543B3E}" srcOrd="0" destOrd="0" presId="urn:microsoft.com/office/officeart/2005/8/layout/cycle3"/>
    <dgm:cxn modelId="{967BEA55-0F4D-4248-A7A3-F413FDFCAC43}" type="presOf" srcId="{4E27D7A7-A84C-4317-852C-7A7499D75856}" destId="{466BE580-659F-49E1-B823-E91C84802BAF}" srcOrd="0" destOrd="0" presId="urn:microsoft.com/office/officeart/2005/8/layout/cycle3"/>
    <dgm:cxn modelId="{412A767A-4411-4D71-B836-40FF86A2249B}" srcId="{0CAFEAD7-579D-4A16-964C-5008CE58F113}" destId="{FB2A72B5-66F4-4C78-880F-E74C77510D55}" srcOrd="4" destOrd="0" parTransId="{C57DF1D8-650F-4217-8A1C-A253599BCB78}" sibTransId="{BC73C3E0-AEE1-43D3-8909-CF89A8184E1F}"/>
    <dgm:cxn modelId="{DCEA7B7B-615F-46B6-913C-24908377BD71}" type="presOf" srcId="{0CAFEAD7-579D-4A16-964C-5008CE58F113}" destId="{F1B1A545-D8CE-460F-9201-FFB139EEC8F3}" srcOrd="0" destOrd="0" presId="urn:microsoft.com/office/officeart/2005/8/layout/cycle3"/>
    <dgm:cxn modelId="{0704E786-0CD8-4396-A516-0F544ADB8D3F}" srcId="{0CAFEAD7-579D-4A16-964C-5008CE58F113}" destId="{6D23AA87-EDFF-449F-A723-FFE2DF1AC7AD}" srcOrd="1" destOrd="0" parTransId="{29467717-5B72-4E63-A268-BA293B6B7DE8}" sibTransId="{6ADB52CF-94FF-439F-B1D6-AE00D91AC077}"/>
    <dgm:cxn modelId="{0694DABD-0327-4AC7-B1E2-811B974303DE}" srcId="{0CAFEAD7-579D-4A16-964C-5008CE58F113}" destId="{A484C970-32BC-424E-BF0C-8429AABB04C8}" srcOrd="0" destOrd="0" parTransId="{ADBDACDA-E2A9-4E50-A8B2-D6076ED2A90D}" sibTransId="{EC177CC2-CC72-48DE-8AE4-EA39F6572B4B}"/>
    <dgm:cxn modelId="{35E3C4E8-948B-4149-B221-E976AD13ACCF}" srcId="{0CAFEAD7-579D-4A16-964C-5008CE58F113}" destId="{4E27D7A7-A84C-4317-852C-7A7499D75856}" srcOrd="2" destOrd="0" parTransId="{07ED5F8E-C2B2-44FB-9AC9-12DB61A3B152}" sibTransId="{BB5504B2-393D-4164-9AAF-3D8533E766C9}"/>
    <dgm:cxn modelId="{7F7AB2B8-1B30-494E-8196-32054E42554E}" type="presParOf" srcId="{F1B1A545-D8CE-460F-9201-FFB139EEC8F3}" destId="{36963780-D513-4D78-8A5C-A29E8AA7D494}" srcOrd="0" destOrd="0" presId="urn:microsoft.com/office/officeart/2005/8/layout/cycle3"/>
    <dgm:cxn modelId="{FE12FA04-36E5-489E-BFCB-C2A07AB5C866}" type="presParOf" srcId="{36963780-D513-4D78-8A5C-A29E8AA7D494}" destId="{E96B5240-AFDD-4F92-A759-7CA34997319D}" srcOrd="0" destOrd="0" presId="urn:microsoft.com/office/officeart/2005/8/layout/cycle3"/>
    <dgm:cxn modelId="{D0BD6EBB-24AF-47DE-AE12-E48340F72E37}" type="presParOf" srcId="{36963780-D513-4D78-8A5C-A29E8AA7D494}" destId="{E7729CF1-1D25-4986-9A98-733EBBD3F712}" srcOrd="1" destOrd="0" presId="urn:microsoft.com/office/officeart/2005/8/layout/cycle3"/>
    <dgm:cxn modelId="{780F1EBA-3FFA-4E65-8DD0-6AAE9759D7F9}" type="presParOf" srcId="{36963780-D513-4D78-8A5C-A29E8AA7D494}" destId="{2AC670D3-17FF-44DF-95B6-E197F7C2176A}" srcOrd="2" destOrd="0" presId="urn:microsoft.com/office/officeart/2005/8/layout/cycle3"/>
    <dgm:cxn modelId="{B4636BD1-FC0A-4668-8264-DB19E1C4552C}" type="presParOf" srcId="{36963780-D513-4D78-8A5C-A29E8AA7D494}" destId="{466BE580-659F-49E1-B823-E91C84802BAF}" srcOrd="3" destOrd="0" presId="urn:microsoft.com/office/officeart/2005/8/layout/cycle3"/>
    <dgm:cxn modelId="{038EC4CA-9F5D-4A72-9BF1-0C6673EC7312}" type="presParOf" srcId="{36963780-D513-4D78-8A5C-A29E8AA7D494}" destId="{DAD85513-336C-4233-919B-8CB847F6D394}" srcOrd="4" destOrd="0" presId="urn:microsoft.com/office/officeart/2005/8/layout/cycle3"/>
    <dgm:cxn modelId="{37754972-AE97-4968-AB6D-71CB53399389}" type="presParOf" srcId="{36963780-D513-4D78-8A5C-A29E8AA7D494}" destId="{83CAA1FF-8AAC-4733-9D8B-8B0E86543B3E}" srcOrd="5" destOrd="0" presId="urn:microsoft.com/office/officeart/2005/8/layout/cycle3"/>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729CF1-1D25-4986-9A98-733EBBD3F712}">
      <dsp:nvSpPr>
        <dsp:cNvPr id="0" name=""/>
        <dsp:cNvSpPr/>
      </dsp:nvSpPr>
      <dsp:spPr>
        <a:xfrm>
          <a:off x="1072021" y="-12606"/>
          <a:ext cx="2513682" cy="2513682"/>
        </a:xfrm>
        <a:prstGeom prst="circularArrow">
          <a:avLst>
            <a:gd name="adj1" fmla="val 5544"/>
            <a:gd name="adj2" fmla="val 330680"/>
            <a:gd name="adj3" fmla="val 13869578"/>
            <a:gd name="adj4" fmla="val 17329227"/>
            <a:gd name="adj5" fmla="val 5757"/>
          </a:avLst>
        </a:prstGeom>
        <a:solidFill>
          <a:schemeClr val="dk1">
            <a:tint val="40000"/>
            <a:hueOff val="0"/>
            <a:satOff val="0"/>
            <a:lumOff val="0"/>
            <a:alphaOff val="0"/>
          </a:schemeClr>
        </a:solidFill>
        <a:ln>
          <a:noFill/>
        </a:ln>
        <a:effectLst/>
      </dsp:spPr>
      <dsp:style>
        <a:lnRef idx="0">
          <a:scrgbClr r="0" g="0" b="0"/>
        </a:lnRef>
        <a:fillRef idx="1">
          <a:scrgbClr r="0" g="0" b="0"/>
        </a:fillRef>
        <a:effectRef idx="1">
          <a:scrgbClr r="0" g="0" b="0"/>
        </a:effectRef>
        <a:fontRef idx="minor"/>
      </dsp:style>
    </dsp:sp>
    <dsp:sp modelId="{E96B5240-AFDD-4F92-A759-7CA34997319D}">
      <dsp:nvSpPr>
        <dsp:cNvPr id="0" name=""/>
        <dsp:cNvSpPr/>
      </dsp:nvSpPr>
      <dsp:spPr>
        <a:xfrm>
          <a:off x="1764272" y="670"/>
          <a:ext cx="1129179" cy="564589"/>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Near-Miss Capture &amp; Analysis</a:t>
          </a:r>
        </a:p>
      </dsp:txBody>
      <dsp:txXfrm>
        <a:off x="1791833" y="28231"/>
        <a:ext cx="1074057" cy="509467"/>
      </dsp:txXfrm>
    </dsp:sp>
    <dsp:sp modelId="{2AC670D3-17FF-44DF-95B6-E197F7C2176A}">
      <dsp:nvSpPr>
        <dsp:cNvPr id="0" name=""/>
        <dsp:cNvSpPr/>
      </dsp:nvSpPr>
      <dsp:spPr>
        <a:xfrm>
          <a:off x="2783741" y="741357"/>
          <a:ext cx="1129179" cy="564589"/>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Scenario Engineering</a:t>
          </a:r>
        </a:p>
      </dsp:txBody>
      <dsp:txXfrm>
        <a:off x="2811302" y="768918"/>
        <a:ext cx="1074057" cy="509467"/>
      </dsp:txXfrm>
    </dsp:sp>
    <dsp:sp modelId="{466BE580-659F-49E1-B823-E91C84802BAF}">
      <dsp:nvSpPr>
        <dsp:cNvPr id="0" name=""/>
        <dsp:cNvSpPr/>
      </dsp:nvSpPr>
      <dsp:spPr>
        <a:xfrm>
          <a:off x="2394338" y="1939814"/>
          <a:ext cx="1129179" cy="564589"/>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Simulation &amp; Practice</a:t>
          </a:r>
        </a:p>
      </dsp:txBody>
      <dsp:txXfrm>
        <a:off x="2421899" y="1967375"/>
        <a:ext cx="1074057" cy="509467"/>
      </dsp:txXfrm>
    </dsp:sp>
    <dsp:sp modelId="{DAD85513-336C-4233-919B-8CB847F6D394}">
      <dsp:nvSpPr>
        <dsp:cNvPr id="0" name=""/>
        <dsp:cNvSpPr/>
      </dsp:nvSpPr>
      <dsp:spPr>
        <a:xfrm>
          <a:off x="1134206" y="1939814"/>
          <a:ext cx="1129179" cy="564589"/>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Rapid Feedback &amp; Debrief</a:t>
          </a:r>
        </a:p>
      </dsp:txBody>
      <dsp:txXfrm>
        <a:off x="1161767" y="1967375"/>
        <a:ext cx="1074057" cy="509467"/>
      </dsp:txXfrm>
    </dsp:sp>
    <dsp:sp modelId="{83CAA1FF-8AAC-4733-9D8B-8B0E86543B3E}">
      <dsp:nvSpPr>
        <dsp:cNvPr id="0" name=""/>
        <dsp:cNvSpPr/>
      </dsp:nvSpPr>
      <dsp:spPr>
        <a:xfrm>
          <a:off x="744803" y="741357"/>
          <a:ext cx="1129179" cy="564589"/>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Update &amp; Strengthening</a:t>
          </a:r>
        </a:p>
      </dsp:txBody>
      <dsp:txXfrm>
        <a:off x="772364" y="768918"/>
        <a:ext cx="1074057" cy="509467"/>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845</TotalTime>
  <Pages>10</Pages>
  <Words>17040</Words>
  <Characters>97130</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Nejati</dc:creator>
  <cp:keywords/>
  <dc:description/>
  <cp:lastModifiedBy>Aida Nejati</cp:lastModifiedBy>
  <cp:revision>306</cp:revision>
  <dcterms:created xsi:type="dcterms:W3CDTF">2025-12-22T19:41:00Z</dcterms:created>
  <dcterms:modified xsi:type="dcterms:W3CDTF">2026-01-11T07:45:00Z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1f672e8c-54b5-496e-b541-b95b65696c22</vt:lpwstr>
  </property>
</Properties>
</file>