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A3E87" w14:textId="77777777" w:rsidR="00424A22" w:rsidRPr="00424A22" w:rsidRDefault="00424A22" w:rsidP="00424A22">
      <w:pPr>
        <w:pStyle w:val="NormalWeb"/>
        <w:jc w:val="center"/>
        <w:rPr>
          <w:rStyle w:val="Strong"/>
          <w:b w:val="0"/>
          <w:bCs w:val="0"/>
          <w:sz w:val="36"/>
          <w:szCs w:val="36"/>
        </w:rPr>
      </w:pPr>
    </w:p>
    <w:p w14:paraId="0994ADF2" w14:textId="76725EC2" w:rsidR="00C81986" w:rsidRDefault="00C81986" w:rsidP="00424A22">
      <w:pPr>
        <w:pStyle w:val="NormalWeb"/>
        <w:jc w:val="center"/>
        <w:rPr>
          <w:rStyle w:val="Strong"/>
          <w:b w:val="0"/>
          <w:bCs w:val="0"/>
          <w:sz w:val="28"/>
          <w:szCs w:val="28"/>
        </w:rPr>
      </w:pPr>
      <w:r w:rsidRPr="00C81986">
        <w:rPr>
          <w:rStyle w:val="Strong"/>
          <w:b w:val="0"/>
          <w:bCs w:val="0"/>
          <w:sz w:val="28"/>
          <w:szCs w:val="28"/>
        </w:rPr>
        <w:t>Understanding Ergonomic Factors Affecting Health: A Comprehensive Review of Occupational and Environmental Influences</w:t>
      </w:r>
    </w:p>
    <w:p w14:paraId="2B125BCA" w14:textId="77777777" w:rsidR="00DF2A30" w:rsidRPr="00C81986" w:rsidRDefault="00DF2A30" w:rsidP="009E5531">
      <w:pPr>
        <w:pStyle w:val="NormalWeb"/>
        <w:rPr>
          <w:b/>
          <w:bCs/>
          <w:sz w:val="28"/>
          <w:szCs w:val="28"/>
        </w:rPr>
      </w:pPr>
    </w:p>
    <w:p w14:paraId="1C5AC5A2" w14:textId="2485BA00" w:rsidR="00C81986" w:rsidRPr="00DF2A30" w:rsidRDefault="002958DA" w:rsidP="00DF2A30">
      <w:pPr>
        <w:pStyle w:val="NormalWeb"/>
        <w:jc w:val="center"/>
        <w:rPr>
          <w:sz w:val="20"/>
          <w:szCs w:val="20"/>
          <w:lang w:bidi="fa-IR"/>
        </w:rPr>
      </w:pPr>
      <w:r>
        <w:rPr>
          <w:b/>
          <w:bCs/>
        </w:rPr>
        <w:t>Hossein Balfuroush Alipour</w:t>
      </w:r>
    </w:p>
    <w:p w14:paraId="1AC662A3" w14:textId="2C6F60EF" w:rsidR="00027FCF" w:rsidRPr="00AF6694" w:rsidRDefault="000679E0" w:rsidP="009D7357">
      <w:pPr>
        <w:jc w:val="center"/>
        <w:rPr>
          <w:rFonts w:cs="Times New Roman"/>
          <w:b/>
          <w:bCs/>
          <w:color w:val="000000" w:themeColor="text1"/>
          <w:sz w:val="16"/>
          <w:szCs w:val="16"/>
          <w:rtl/>
        </w:rPr>
      </w:pPr>
      <w:r w:rsidRPr="00AF6694">
        <w:rPr>
          <w:rFonts w:cs="Times New Roman"/>
          <w:b/>
          <w:bCs/>
        </w:rPr>
        <w:t xml:space="preserve">Bachelor of Nursing, Shahed University, Tehran, Iran </w:t>
      </w:r>
      <w:r w:rsidRPr="00AF6694">
        <w:rPr>
          <w:rFonts w:cs="Times New Roman" w:hint="cs"/>
          <w:b/>
          <w:bCs/>
          <w:rtl/>
        </w:rPr>
        <w:t xml:space="preserve"> </w:t>
      </w:r>
    </w:p>
    <w:p w14:paraId="488DFF05" w14:textId="77777777" w:rsidR="000679E0" w:rsidRDefault="000679E0" w:rsidP="009D7357">
      <w:pPr>
        <w:jc w:val="center"/>
        <w:rPr>
          <w:rFonts w:cs="Times New Roman"/>
          <w:b/>
          <w:bCs/>
          <w:color w:val="000000" w:themeColor="text1"/>
          <w:sz w:val="16"/>
          <w:szCs w:val="16"/>
          <w:rtl/>
        </w:rPr>
      </w:pPr>
    </w:p>
    <w:p w14:paraId="02C8FC7B" w14:textId="77777777" w:rsidR="000679E0" w:rsidRPr="009D7357" w:rsidRDefault="000679E0" w:rsidP="009D7357">
      <w:pPr>
        <w:jc w:val="center"/>
        <w:rPr>
          <w:rFonts w:cs="Times New Roman"/>
          <w:b/>
          <w:bCs/>
          <w:color w:val="000000" w:themeColor="text1"/>
          <w:sz w:val="16"/>
          <w:szCs w:val="16"/>
        </w:rPr>
      </w:pPr>
    </w:p>
    <w:p w14:paraId="2D6ABE02" w14:textId="77777777" w:rsidR="00147A59" w:rsidRPr="009E5531" w:rsidRDefault="00147A59" w:rsidP="002958DA">
      <w:pPr>
        <w:outlineLvl w:val="0"/>
        <w:rPr>
          <w:rFonts w:cs="Times New Roman"/>
          <w:b/>
          <w:bCs/>
          <w:kern w:val="36"/>
          <w:sz w:val="32"/>
          <w:szCs w:val="32"/>
          <w:rtl/>
        </w:rPr>
      </w:pPr>
    </w:p>
    <w:p w14:paraId="781EA236" w14:textId="77777777" w:rsidR="009E5531" w:rsidRDefault="009E5531" w:rsidP="002958DA">
      <w:pPr>
        <w:outlineLvl w:val="0"/>
        <w:rPr>
          <w:rFonts w:cs="Times New Roman"/>
          <w:b/>
          <w:bCs/>
          <w:kern w:val="36"/>
          <w:sz w:val="32"/>
          <w:szCs w:val="32"/>
        </w:rPr>
      </w:pPr>
    </w:p>
    <w:p w14:paraId="78EFE3C7" w14:textId="7DF9EDA4" w:rsidR="002958DA" w:rsidRDefault="00C81986" w:rsidP="002958DA">
      <w:pPr>
        <w:outlineLvl w:val="0"/>
        <w:rPr>
          <w:rFonts w:cs="Times New Roman"/>
          <w:b/>
          <w:bCs/>
          <w:kern w:val="36"/>
          <w:sz w:val="32"/>
          <w:szCs w:val="32"/>
        </w:rPr>
      </w:pPr>
      <w:r w:rsidRPr="00920485">
        <w:rPr>
          <w:rFonts w:cs="Times New Roman"/>
          <w:b/>
          <w:bCs/>
          <w:kern w:val="36"/>
          <w:sz w:val="32"/>
          <w:szCs w:val="32"/>
        </w:rPr>
        <w:t>Abstract</w:t>
      </w:r>
    </w:p>
    <w:p w14:paraId="224B7D43" w14:textId="15156AB4" w:rsidR="00101539" w:rsidRPr="000679E0" w:rsidRDefault="00C81986" w:rsidP="000679E0">
      <w:pPr>
        <w:jc w:val="both"/>
        <w:outlineLvl w:val="0"/>
        <w:rPr>
          <w:rFonts w:cs="Times New Roman"/>
          <w:b/>
          <w:bCs/>
          <w:kern w:val="36"/>
          <w:sz w:val="32"/>
          <w:szCs w:val="32"/>
        </w:rPr>
      </w:pPr>
      <w:r w:rsidRPr="00291254">
        <w:t>Understanding ergonomic factors that affect human health is critical for designing work environments that protect physical and psychological well-being. Ergonomics, or human factors engineering, optimizes the interaction between humans and workplace demands to enhance safety, comfort, and performance. This review synthesizes recent research on key ergonomic risk factors impacting health in occupational settings, including awkward postures, repetitive motions, forceful exertions, prolonged static loads, and environmental stressors (e.g., poor lighting, noise, and thermal conditions). These factors strongly link to work-related musculoskeletal disorders (WMSDs), a leading cause of occupational injury worldwide. Psychosocial and organizational elements, such as workload and job control, further influence exposures and outcomes. Despite widespread interventions, gaps remain in understanding combined exposures, cognitive ergonomics, and long-term effects. This review proposes an integrated framework incorporating physical, environmental, and organizational dimensions to improve worker health and sustainability</w:t>
      </w:r>
      <w:r w:rsidR="00101539" w:rsidRPr="00291254">
        <w:t>.</w:t>
      </w:r>
    </w:p>
    <w:p w14:paraId="5F17576D" w14:textId="77777777" w:rsidR="00291254" w:rsidRPr="00291254" w:rsidRDefault="00291254" w:rsidP="00C81986">
      <w:pPr>
        <w:pStyle w:val="NormalWeb"/>
        <w:jc w:val="both"/>
        <w:rPr>
          <w:sz w:val="32"/>
          <w:szCs w:val="32"/>
        </w:rPr>
      </w:pPr>
    </w:p>
    <w:p w14:paraId="76D9E61A" w14:textId="77777777" w:rsidR="00C81986" w:rsidRDefault="00C81986" w:rsidP="00C81986">
      <w:pPr>
        <w:pStyle w:val="NormalWeb"/>
      </w:pPr>
      <w:r w:rsidRPr="00920485">
        <w:rPr>
          <w:b/>
          <w:bCs/>
        </w:rPr>
        <w:t>Keywords:</w:t>
      </w:r>
      <w:r w:rsidRPr="00920485">
        <w:t xml:space="preserve"> </w:t>
      </w:r>
      <w:r w:rsidRPr="00291254">
        <w:rPr>
          <w:sz w:val="20"/>
          <w:szCs w:val="20"/>
        </w:rPr>
        <w:t>Ergonomics, ergonomic risk factors, occupational health, musculoskeletal disorders, work environment, human factors.</w:t>
      </w:r>
    </w:p>
    <w:p w14:paraId="205D58E7" w14:textId="77777777" w:rsidR="00C81986" w:rsidRPr="00920485" w:rsidRDefault="00C81986" w:rsidP="00C81986">
      <w:pPr>
        <w:spacing w:before="100" w:beforeAutospacing="1" w:after="100" w:afterAutospacing="1"/>
        <w:rPr>
          <w:rFonts w:cs="Times New Roman"/>
          <w:sz w:val="24"/>
          <w:szCs w:val="24"/>
        </w:rPr>
      </w:pPr>
    </w:p>
    <w:p w14:paraId="3828474C" w14:textId="77777777" w:rsidR="00C81986" w:rsidRDefault="00C81986" w:rsidP="00C81986">
      <w:pPr>
        <w:rPr>
          <w:rFonts w:cs="Times New Roman"/>
          <w:sz w:val="24"/>
          <w:szCs w:val="24"/>
        </w:rPr>
      </w:pPr>
      <w:r>
        <w:br w:type="page"/>
      </w:r>
    </w:p>
    <w:p w14:paraId="7C43FCFB" w14:textId="71AB3801" w:rsidR="00C81986" w:rsidRDefault="00C81986" w:rsidP="00C81986"/>
    <w:p w14:paraId="51E5772C" w14:textId="77777777" w:rsidR="00E02B57" w:rsidRDefault="00C81986" w:rsidP="009E5531">
      <w:pPr>
        <w:spacing w:before="100" w:beforeAutospacing="1" w:after="120"/>
        <w:ind w:right="340"/>
        <w:outlineLvl w:val="0"/>
        <w:rPr>
          <w:rFonts w:cs="Times New Roman"/>
          <w:b/>
          <w:bCs/>
          <w:kern w:val="36"/>
          <w:sz w:val="22"/>
          <w:szCs w:val="22"/>
        </w:rPr>
      </w:pPr>
      <w:r w:rsidRPr="00F53FAA">
        <w:rPr>
          <w:rFonts w:cs="Times New Roman"/>
          <w:b/>
          <w:bCs/>
          <w:kern w:val="36"/>
          <w:sz w:val="22"/>
          <w:szCs w:val="22"/>
        </w:rPr>
        <w:t>1.Introduction</w:t>
      </w:r>
    </w:p>
    <w:p w14:paraId="437CB32B" w14:textId="77777777" w:rsidR="000B5598" w:rsidRDefault="00C81986" w:rsidP="000B5598">
      <w:pPr>
        <w:spacing w:after="10"/>
        <w:jc w:val="both"/>
        <w:outlineLvl w:val="0"/>
      </w:pPr>
      <w:r w:rsidRPr="00E02B57">
        <w:t>Ergonomics, or human factors engineering, is a multidisciplinary field focused on designing work systems to optimize human well-being and performance by aligning tasks, tools, and environments with human capabilities and limitations [1]. Defined by the International Ergonomics Association as the scientific discipline concerned with interactions among humans and system elements, ergonomics applies theory, principles, and data to enhance safety, comfort, and productivity while reducing injury risk [1]. In occupational settings, its importance has grown with changes in work patterns, including prolonged sedentary office work, intensive manual handling in healthcare and industry, and digital tool integration introducing new cognitive demands [2,3].</w:t>
      </w:r>
      <w:r w:rsidRPr="00E02B57">
        <w:rPr>
          <w:rFonts w:hint="cs"/>
          <w:rtl/>
        </w:rPr>
        <w:t xml:space="preserve"> </w:t>
      </w:r>
      <w:r w:rsidRPr="00E02B57">
        <w:t>Work-related musculoskeletal disorders (WMSDs) are among the most common occupational health issues globally, including low back pain, neck/shoulder disorders, upper limb conditions, and repetitive strain injuries [4,5]. These arise from cumulative exposure to ergonomic risk factors classified into physical (e.g., awkward postures, repetition, force), environmental (e.g., noise, lighting, temperature), psychosocial (e.g., high demands, low control), and cognitive dimensions [6,7]. Physical factors cause biomechanical overload, leading to tissue inflammation and degeneration [8]. Environmental stressors induce physiological strain and cognitive fatigue, while psychosocial factors amplify pain perception through stress pathways involving muscle tension and reduced recovery [9,10]. Cognitive ergonomics, addressing mental workload and decision-making, gains recognition as high cognitive demands contribute to fatigue and secondary musculoskeletal issues, especially in aging or technology-intensive workforces [11,12].</w:t>
      </w:r>
      <w:r w:rsidRPr="00E02B57">
        <w:rPr>
          <w:rFonts w:hint="cs"/>
          <w:rtl/>
        </w:rPr>
        <w:t xml:space="preserve"> </w:t>
      </w:r>
      <w:r w:rsidRPr="00E02B57">
        <w:t>The global burden of WMSDs is substantial, with recent estimates showing high prevalence in high-risk occupations (e.g., 38–89% in healthcare) and significant economic costs from absenteeism and disability [4,13]. Psychosocial factors independently and interactively predict WMSD onset [9]. Participatory interventions, involving workers in solutions, show promise in reducing risks and symptoms [14,15].</w:t>
      </w:r>
      <w:r w:rsidRPr="00E02B57">
        <w:rPr>
          <w:rFonts w:hint="cs"/>
          <w:rtl/>
        </w:rPr>
        <w:t xml:space="preserve"> </w:t>
      </w:r>
    </w:p>
    <w:p w14:paraId="4C4B2EB1" w14:textId="4DDD7274" w:rsidR="00C81986" w:rsidRPr="000B5598" w:rsidRDefault="00C81986" w:rsidP="000B5598">
      <w:pPr>
        <w:spacing w:after="10"/>
        <w:jc w:val="both"/>
        <w:outlineLvl w:val="0"/>
        <w:rPr>
          <w:rFonts w:cs="Times New Roman"/>
          <w:b/>
          <w:bCs/>
          <w:kern w:val="36"/>
          <w:sz w:val="22"/>
          <w:szCs w:val="22"/>
          <w:rtl/>
        </w:rPr>
      </w:pPr>
      <w:r w:rsidRPr="00E02B57">
        <w:t>Despite progress, gaps remain: studies often isolate factors, underestimating combined exposures; long-term intervention effects are underexplored; and standardized assessments lack [3,16]. This review synthesizes recent evidence (primarily 2023–2025) to: (1) categorize ergonomic risk factors and mechanisms; (2) examine combined effects on health; (3) evaluate interventions, emphasizing participatory approaches; (4) address implementation challenges; and (5) recommend future research for sustainable occupational health.</w:t>
      </w:r>
    </w:p>
    <w:p w14:paraId="7B4B2C04" w14:textId="77777777" w:rsidR="00C81986" w:rsidRPr="00BF7449" w:rsidRDefault="00C81986" w:rsidP="00C81986">
      <w:pPr>
        <w:spacing w:before="100" w:beforeAutospacing="1" w:after="100" w:afterAutospacing="1"/>
        <w:outlineLvl w:val="0"/>
        <w:rPr>
          <w:rFonts w:cs="Times New Roman"/>
          <w:b/>
          <w:bCs/>
          <w:kern w:val="36"/>
          <w:sz w:val="22"/>
          <w:szCs w:val="22"/>
        </w:rPr>
      </w:pPr>
      <w:r w:rsidRPr="00BF7449">
        <w:rPr>
          <w:rFonts w:cs="Times New Roman"/>
          <w:b/>
          <w:bCs/>
          <w:kern w:val="36"/>
          <w:sz w:val="22"/>
          <w:szCs w:val="22"/>
        </w:rPr>
        <w:t>2. Mechanisms and Effects of Ergonomic Factors on Health</w:t>
      </w:r>
    </w:p>
    <w:p w14:paraId="0DE48EFD" w14:textId="77777777" w:rsidR="00C81986" w:rsidRPr="00BF7449" w:rsidRDefault="00C81986" w:rsidP="00C81986">
      <w:pPr>
        <w:pStyle w:val="NormalWeb"/>
        <w:jc w:val="both"/>
        <w:rPr>
          <w:sz w:val="20"/>
          <w:szCs w:val="20"/>
        </w:rPr>
      </w:pPr>
      <w:r w:rsidRPr="00BF7449">
        <w:rPr>
          <w:sz w:val="20"/>
          <w:szCs w:val="20"/>
        </w:rPr>
        <w:t>The health impacts of ergonomic factors primarily manifest through interconnected physiological, psychological, and biomechanical pathways, leading to a spectrum of adverse outcomes, most notably work-related musculoskeletal disorders (WMSDs) [17,18]. Understanding these mechanisms is essential for developing targeted prevention strategies, as exposures often interact to produce cumulative or synergistic effects [19].</w:t>
      </w:r>
    </w:p>
    <w:p w14:paraId="3177A62C" w14:textId="77777777" w:rsidR="000B5598" w:rsidRDefault="00C81986" w:rsidP="000B5598">
      <w:pPr>
        <w:spacing w:before="100" w:beforeAutospacing="1" w:after="100" w:afterAutospacing="1"/>
        <w:ind w:right="340"/>
        <w:outlineLvl w:val="0"/>
        <w:rPr>
          <w:rFonts w:cs="Times New Roman"/>
          <w:kern w:val="36"/>
        </w:rPr>
      </w:pPr>
      <w:r w:rsidRPr="00C63986">
        <w:rPr>
          <w:rFonts w:cs="Times New Roman"/>
          <w:kern w:val="36"/>
        </w:rPr>
        <w:t>2.1 Biomechanical Mechanisms: Musculoskeletal Disorders</w:t>
      </w:r>
    </w:p>
    <w:p w14:paraId="1AAE0541" w14:textId="64D52067" w:rsidR="00C81986" w:rsidRPr="000B5598" w:rsidRDefault="00C81986" w:rsidP="00F40D2F">
      <w:pPr>
        <w:spacing w:before="100" w:beforeAutospacing="1" w:after="100" w:afterAutospacing="1"/>
        <w:jc w:val="both"/>
        <w:outlineLvl w:val="0"/>
      </w:pPr>
      <w:r w:rsidRPr="00EA3223">
        <w:t>WMSDs predominantly arise from biomechanical overload, where repetitive or sustained physical demands exceed tissue tolerance thresholds, resulting in microtrauma accumulation and subsequent pathological changes [20]. Key physical risk factors—awkward postures, repetitive motions, forceful exertions, and prolonged static loading—induce mechanical stress on musculoskeletal structures, including muscles, tendons, ligaments, and intervertebral discs [21]. For example, non-neutral postures (e.g., forward bending or overhead reaching) alter spinal loading and muscle activation patterns, increasing compressive forces on lumbar discs and elevating low back pain risk [22]. Repetitive motions contribute to tendon fatigue and inflammation, as seen in upper limb disorders like tendinopathy or carpal tunnel syndrome, where cyclic loading impairs tissue repair [23]. Forceful exertions amplify peak loads on joints, while static holding sustains muscle contraction without recovery, leading to ischemia and metabolic buildup [24]. Longitudinal evidence confirms dose-response relationships, with higher exposure intensity and duration correlating with greater WMSD incidence and severity [25].</w:t>
      </w:r>
    </w:p>
    <w:p w14:paraId="210C599E" w14:textId="77777777" w:rsidR="00C81986" w:rsidRPr="00C63986" w:rsidRDefault="00C81986" w:rsidP="00C81986">
      <w:pPr>
        <w:spacing w:before="100" w:beforeAutospacing="1" w:after="100" w:afterAutospacing="1"/>
        <w:outlineLvl w:val="0"/>
        <w:rPr>
          <w:sz w:val="16"/>
          <w:szCs w:val="16"/>
        </w:rPr>
      </w:pPr>
      <w:r w:rsidRPr="00C63986">
        <w:rPr>
          <w:rFonts w:cs="Times New Roman"/>
          <w:kern w:val="36"/>
        </w:rPr>
        <w:t>2.2 Environmental Factors: Stress and Cognitive Fatigue</w:t>
      </w:r>
    </w:p>
    <w:p w14:paraId="3A38DFD8" w14:textId="77777777" w:rsidR="00C63986" w:rsidRDefault="00C81986" w:rsidP="00C81986">
      <w:pPr>
        <w:pStyle w:val="NormalWeb"/>
        <w:jc w:val="both"/>
        <w:rPr>
          <w:sz w:val="20"/>
          <w:szCs w:val="20"/>
        </w:rPr>
      </w:pPr>
      <w:r w:rsidRPr="00EA3223">
        <w:rPr>
          <w:sz w:val="20"/>
          <w:szCs w:val="20"/>
        </w:rPr>
        <w:t xml:space="preserve">Environmental ergonomic stressors exert indirect but significant effects on health by disrupting homeostasis and cognitive function. Inadequate illumination provokes visual strain, accommodative fatigue, and headaches; excessive noise elevates sympathetic nervous system activity, raising cortisol levels and cardiovascular strain [26]. Thermal </w:t>
      </w:r>
    </w:p>
    <w:p w14:paraId="417421A9" w14:textId="77777777" w:rsidR="00C63986" w:rsidRDefault="00C63986" w:rsidP="00C81986">
      <w:pPr>
        <w:pStyle w:val="NormalWeb"/>
        <w:jc w:val="both"/>
        <w:rPr>
          <w:sz w:val="20"/>
          <w:szCs w:val="20"/>
        </w:rPr>
      </w:pPr>
    </w:p>
    <w:p w14:paraId="1039C053" w14:textId="77777777" w:rsidR="000B5598" w:rsidRDefault="000B5598" w:rsidP="00C81986">
      <w:pPr>
        <w:pStyle w:val="NormalWeb"/>
        <w:jc w:val="both"/>
        <w:rPr>
          <w:sz w:val="20"/>
          <w:szCs w:val="20"/>
        </w:rPr>
      </w:pPr>
    </w:p>
    <w:p w14:paraId="51ACA556" w14:textId="77777777" w:rsidR="000B5598" w:rsidRDefault="000B5598" w:rsidP="00C81986">
      <w:pPr>
        <w:pStyle w:val="NormalWeb"/>
        <w:jc w:val="both"/>
        <w:rPr>
          <w:sz w:val="20"/>
          <w:szCs w:val="20"/>
        </w:rPr>
      </w:pPr>
    </w:p>
    <w:p w14:paraId="71D6D56B" w14:textId="1293F863" w:rsidR="00C81986" w:rsidRPr="00EA3223" w:rsidRDefault="00C81986" w:rsidP="00C81986">
      <w:pPr>
        <w:pStyle w:val="NormalWeb"/>
        <w:jc w:val="both"/>
        <w:rPr>
          <w:sz w:val="20"/>
          <w:szCs w:val="20"/>
        </w:rPr>
      </w:pPr>
      <w:r w:rsidRPr="00EA3223">
        <w:rPr>
          <w:sz w:val="20"/>
          <w:szCs w:val="20"/>
        </w:rPr>
        <w:t>extremes (heat or cold) impair thermoregulation, causing dehydration, reduced manual dexterity, or hypothermia, while poor ventilation exacerbates respiratory discomfort and fatigue [27]. These factors diminish attentional resources and vigilance, increasing error rates and compensatory movements that heighten biomechanical risks [28]. Chronic exposure links to systemic effects, including hypertension and impaired immune function, compounding occupational health burdens [29].</w:t>
      </w:r>
    </w:p>
    <w:p w14:paraId="59C64D99" w14:textId="77777777" w:rsidR="00C81986" w:rsidRPr="00C63986" w:rsidRDefault="00C81986" w:rsidP="0012593F">
      <w:pPr>
        <w:spacing w:before="100" w:beforeAutospacing="1" w:after="120"/>
        <w:ind w:right="3402"/>
        <w:outlineLvl w:val="0"/>
        <w:rPr>
          <w:rFonts w:cs="Times New Roman"/>
          <w:kern w:val="36"/>
        </w:rPr>
      </w:pPr>
      <w:r w:rsidRPr="00C63986">
        <w:rPr>
          <w:rFonts w:cs="Times New Roman"/>
          <w:kern w:val="36"/>
        </w:rPr>
        <w:t>2.3 Psychosocial Mechanisms: Workload and Stress</w:t>
      </w:r>
    </w:p>
    <w:p w14:paraId="279BDDCB" w14:textId="77777777" w:rsidR="00C81986" w:rsidRPr="00EA3223" w:rsidRDefault="00C81986" w:rsidP="00C81986">
      <w:pPr>
        <w:pStyle w:val="NormalWeb"/>
        <w:jc w:val="both"/>
        <w:rPr>
          <w:sz w:val="20"/>
          <w:szCs w:val="20"/>
        </w:rPr>
      </w:pPr>
      <w:r w:rsidRPr="00EA3223">
        <w:rPr>
          <w:sz w:val="20"/>
          <w:szCs w:val="20"/>
        </w:rPr>
        <w:t>Psychosocial factors influence WMSD development through neurophysiological and behavioral mechanisms. The demand-control-support model posits that high job demands paired with low autonomy and poor social support trigger chronic stress responses, manifesting as sustained muscle co-activation, elevated pain sensitivity (central sensitization), and reduced parasympathetic recovery [30,31]. Effort-reward imbalance further contributes to emotional exhaustion, altering pain perception via descending modulation pathways [32]. Empirical studies demonstrate that psychosocial stressors independently predict WMSD onset and amplify physical risk effects, with workers in high-strain jobs exhibiting greater symptom reporting and prolonged disability [33].</w:t>
      </w:r>
    </w:p>
    <w:p w14:paraId="21988E36" w14:textId="77777777" w:rsidR="00C81986" w:rsidRPr="00C63986" w:rsidRDefault="00C81986" w:rsidP="00C81986">
      <w:pPr>
        <w:spacing w:before="100" w:beforeAutospacing="1" w:after="100" w:afterAutospacing="1"/>
        <w:outlineLvl w:val="0"/>
        <w:rPr>
          <w:rFonts w:cs="Times New Roman"/>
          <w:kern w:val="36"/>
        </w:rPr>
      </w:pPr>
      <w:r w:rsidRPr="00C63986">
        <w:rPr>
          <w:rFonts w:cs="Times New Roman"/>
          <w:kern w:val="36"/>
        </w:rPr>
        <w:t>2.4 Cognitive Ergonomics: Mental Health and Performance</w:t>
      </w:r>
    </w:p>
    <w:p w14:paraId="749482CF" w14:textId="77777777" w:rsidR="00C81986" w:rsidRPr="00EA3223" w:rsidRDefault="00C81986" w:rsidP="00C81986">
      <w:pPr>
        <w:pStyle w:val="NormalWeb"/>
        <w:jc w:val="both"/>
        <w:rPr>
          <w:sz w:val="20"/>
          <w:szCs w:val="20"/>
          <w:rtl/>
        </w:rPr>
      </w:pPr>
      <w:r w:rsidRPr="00EA3223">
        <w:rPr>
          <w:sz w:val="20"/>
          <w:szCs w:val="20"/>
        </w:rPr>
        <w:t>Cognitive ergonomics examines how mental workload and system design affect health outcomes. Excessive cognitive demands—from sustained attention, multitasking, or complex interfaces—induce mental fatigue, decision errors, and stress, often presenting as tension headaches or neck/shoulder strain from compensatory postures [34]. In digital-intensive occupations, poor human-computer interaction increases cognitive load, contributing to burnout and secondary musculoskeletal complaints</w:t>
      </w:r>
    </w:p>
    <w:p w14:paraId="006B2D33" w14:textId="77777777" w:rsidR="00C81986" w:rsidRPr="000F3585" w:rsidRDefault="00C81986" w:rsidP="006F24BF">
      <w:pPr>
        <w:pStyle w:val="NormalWeb"/>
        <w:jc w:val="center"/>
        <w:rPr>
          <w:b/>
          <w:bCs/>
          <w:sz w:val="18"/>
          <w:szCs w:val="18"/>
        </w:rPr>
      </w:pPr>
      <w:r w:rsidRPr="000F3585">
        <w:rPr>
          <w:b/>
          <w:bCs/>
          <w:sz w:val="18"/>
          <w:szCs w:val="18"/>
        </w:rPr>
        <w:t>Table 1: Summary of Ergonomic Factors, Mechanisms, and Health Effects</w:t>
      </w:r>
    </w:p>
    <w:tbl>
      <w:tblPr>
        <w:tblW w:w="0" w:type="auto"/>
        <w:tblBorders>
          <w:top w:val="single" w:sz="4" w:space="0" w:color="auto"/>
          <w:bottom w:val="single" w:sz="4" w:space="0" w:color="auto"/>
        </w:tblBorders>
        <w:tblLook w:val="04A0" w:firstRow="1" w:lastRow="0" w:firstColumn="1" w:lastColumn="0" w:noHBand="0" w:noVBand="1"/>
      </w:tblPr>
      <w:tblGrid>
        <w:gridCol w:w="1416"/>
        <w:gridCol w:w="2589"/>
        <w:gridCol w:w="2079"/>
        <w:gridCol w:w="2166"/>
        <w:gridCol w:w="1105"/>
      </w:tblGrid>
      <w:tr w:rsidR="00842988" w:rsidRPr="00903E18" w14:paraId="694C39BB" w14:textId="77777777" w:rsidTr="00DC6B15">
        <w:tc>
          <w:tcPr>
            <w:tcW w:w="0" w:type="auto"/>
            <w:tcBorders>
              <w:bottom w:val="single" w:sz="4" w:space="0" w:color="auto"/>
            </w:tcBorders>
            <w:hideMark/>
          </w:tcPr>
          <w:p w14:paraId="2AB1A385" w14:textId="77777777" w:rsidR="00C81986" w:rsidRPr="000F3585" w:rsidRDefault="00C81986" w:rsidP="007C31A6">
            <w:pPr>
              <w:jc w:val="center"/>
              <w:rPr>
                <w:rFonts w:cs="Times New Roman"/>
              </w:rPr>
            </w:pPr>
            <w:r w:rsidRPr="000F3585">
              <w:rPr>
                <w:rFonts w:cs="Times New Roman"/>
              </w:rPr>
              <w:t>Factor Type</w:t>
            </w:r>
          </w:p>
        </w:tc>
        <w:tc>
          <w:tcPr>
            <w:tcW w:w="0" w:type="auto"/>
            <w:tcBorders>
              <w:bottom w:val="single" w:sz="4" w:space="0" w:color="auto"/>
            </w:tcBorders>
            <w:hideMark/>
          </w:tcPr>
          <w:p w14:paraId="7BDADC50" w14:textId="77777777" w:rsidR="00C81986" w:rsidRPr="000F3585" w:rsidRDefault="00C81986" w:rsidP="007C31A6">
            <w:pPr>
              <w:jc w:val="center"/>
              <w:rPr>
                <w:rFonts w:cs="Times New Roman"/>
              </w:rPr>
            </w:pPr>
            <w:r w:rsidRPr="000F3585">
              <w:rPr>
                <w:rFonts w:cs="Times New Roman"/>
              </w:rPr>
              <w:t>Primary Mechanisms</w:t>
            </w:r>
          </w:p>
        </w:tc>
        <w:tc>
          <w:tcPr>
            <w:tcW w:w="0" w:type="auto"/>
            <w:tcBorders>
              <w:bottom w:val="single" w:sz="4" w:space="0" w:color="auto"/>
            </w:tcBorders>
            <w:hideMark/>
          </w:tcPr>
          <w:p w14:paraId="1642DAD8" w14:textId="77777777" w:rsidR="00C81986" w:rsidRPr="000F3585" w:rsidRDefault="00C81986" w:rsidP="007C31A6">
            <w:pPr>
              <w:jc w:val="center"/>
              <w:rPr>
                <w:rFonts w:cs="Times New Roman"/>
              </w:rPr>
            </w:pPr>
            <w:r w:rsidRPr="000F3585">
              <w:rPr>
                <w:rFonts w:cs="Times New Roman"/>
              </w:rPr>
              <w:t>Key Health Effects</w:t>
            </w:r>
          </w:p>
        </w:tc>
        <w:tc>
          <w:tcPr>
            <w:tcW w:w="0" w:type="auto"/>
            <w:tcBorders>
              <w:bottom w:val="single" w:sz="4" w:space="0" w:color="auto"/>
            </w:tcBorders>
            <w:hideMark/>
          </w:tcPr>
          <w:p w14:paraId="1DD25063" w14:textId="77777777" w:rsidR="00C81986" w:rsidRPr="000F3585" w:rsidRDefault="00C81986" w:rsidP="007C31A6">
            <w:pPr>
              <w:jc w:val="center"/>
              <w:rPr>
                <w:rFonts w:cs="Times New Roman"/>
              </w:rPr>
            </w:pPr>
            <w:r w:rsidRPr="000F3585">
              <w:rPr>
                <w:rFonts w:cs="Times New Roman"/>
              </w:rPr>
              <w:t>Example Outcomes</w:t>
            </w:r>
          </w:p>
        </w:tc>
        <w:tc>
          <w:tcPr>
            <w:tcW w:w="0" w:type="auto"/>
            <w:tcBorders>
              <w:bottom w:val="single" w:sz="4" w:space="0" w:color="auto"/>
            </w:tcBorders>
            <w:hideMark/>
          </w:tcPr>
          <w:p w14:paraId="2862971F" w14:textId="77777777" w:rsidR="00C81986" w:rsidRPr="000F3585" w:rsidRDefault="00C81986" w:rsidP="007C31A6">
            <w:pPr>
              <w:jc w:val="center"/>
              <w:rPr>
                <w:rFonts w:cs="Times New Roman"/>
              </w:rPr>
            </w:pPr>
            <w:r w:rsidRPr="000F3585">
              <w:rPr>
                <w:rFonts w:cs="Times New Roman"/>
              </w:rPr>
              <w:t>References</w:t>
            </w:r>
          </w:p>
        </w:tc>
      </w:tr>
      <w:tr w:rsidR="00842988" w:rsidRPr="00903E18" w14:paraId="51FD91EE" w14:textId="77777777" w:rsidTr="00DC6B15">
        <w:tc>
          <w:tcPr>
            <w:tcW w:w="0" w:type="auto"/>
            <w:tcBorders>
              <w:top w:val="single" w:sz="4" w:space="0" w:color="auto"/>
            </w:tcBorders>
            <w:hideMark/>
          </w:tcPr>
          <w:p w14:paraId="2C4FA0FD" w14:textId="77777777" w:rsidR="00C81986" w:rsidRPr="000F3585" w:rsidRDefault="00C81986" w:rsidP="007C31A6">
            <w:pPr>
              <w:jc w:val="center"/>
              <w:rPr>
                <w:rFonts w:cs="Times New Roman"/>
              </w:rPr>
            </w:pPr>
            <w:r w:rsidRPr="000F3585">
              <w:rPr>
                <w:rFonts w:cs="Times New Roman"/>
              </w:rPr>
              <w:t>Biomechanical</w:t>
            </w:r>
          </w:p>
        </w:tc>
        <w:tc>
          <w:tcPr>
            <w:tcW w:w="0" w:type="auto"/>
            <w:tcBorders>
              <w:top w:val="single" w:sz="4" w:space="0" w:color="auto"/>
            </w:tcBorders>
            <w:hideMark/>
          </w:tcPr>
          <w:p w14:paraId="05DFCC86" w14:textId="77777777" w:rsidR="00C81986" w:rsidRPr="000F3585" w:rsidRDefault="00C81986" w:rsidP="007C31A6">
            <w:pPr>
              <w:jc w:val="center"/>
              <w:rPr>
                <w:rFonts w:cs="Times New Roman"/>
              </w:rPr>
            </w:pPr>
            <w:r w:rsidRPr="000F3585">
              <w:rPr>
                <w:rFonts w:cs="Times New Roman"/>
              </w:rPr>
              <w:t>Cumulative microtrauma; tissue overload from force, repetition, posture</w:t>
            </w:r>
          </w:p>
        </w:tc>
        <w:tc>
          <w:tcPr>
            <w:tcW w:w="0" w:type="auto"/>
            <w:tcBorders>
              <w:top w:val="single" w:sz="4" w:space="0" w:color="auto"/>
            </w:tcBorders>
            <w:hideMark/>
          </w:tcPr>
          <w:p w14:paraId="75B5F683" w14:textId="77777777" w:rsidR="00C81986" w:rsidRPr="000F3585" w:rsidRDefault="00C81986" w:rsidP="007C31A6">
            <w:pPr>
              <w:jc w:val="center"/>
              <w:rPr>
                <w:rFonts w:cs="Times New Roman"/>
              </w:rPr>
            </w:pPr>
            <w:r w:rsidRPr="000F3585">
              <w:rPr>
                <w:rFonts w:cs="Times New Roman"/>
              </w:rPr>
              <w:t>Inflammation, degeneration, pain</w:t>
            </w:r>
          </w:p>
        </w:tc>
        <w:tc>
          <w:tcPr>
            <w:tcW w:w="0" w:type="auto"/>
            <w:tcBorders>
              <w:top w:val="single" w:sz="4" w:space="0" w:color="auto"/>
            </w:tcBorders>
            <w:hideMark/>
          </w:tcPr>
          <w:p w14:paraId="60BEE484" w14:textId="77777777" w:rsidR="00C81986" w:rsidRPr="000F3585" w:rsidRDefault="00C81986" w:rsidP="007C31A6">
            <w:pPr>
              <w:jc w:val="center"/>
              <w:rPr>
                <w:rFonts w:cs="Times New Roman"/>
              </w:rPr>
            </w:pPr>
            <w:r w:rsidRPr="000F3585">
              <w:rPr>
                <w:rFonts w:cs="Times New Roman"/>
              </w:rPr>
              <w:t>Low back pain, carpal tunnel syndrome, tendinopathy</w:t>
            </w:r>
          </w:p>
        </w:tc>
        <w:tc>
          <w:tcPr>
            <w:tcW w:w="0" w:type="auto"/>
            <w:tcBorders>
              <w:top w:val="single" w:sz="4" w:space="0" w:color="auto"/>
            </w:tcBorders>
            <w:hideMark/>
          </w:tcPr>
          <w:p w14:paraId="16518F92" w14:textId="77777777" w:rsidR="00C81986" w:rsidRPr="000F3585" w:rsidRDefault="00C81986" w:rsidP="007C31A6">
            <w:pPr>
              <w:jc w:val="center"/>
              <w:rPr>
                <w:rFonts w:cs="Times New Roman"/>
              </w:rPr>
            </w:pPr>
            <w:r w:rsidRPr="000F3585">
              <w:rPr>
                <w:rFonts w:cs="Times New Roman"/>
              </w:rPr>
              <w:t>[20–25]</w:t>
            </w:r>
          </w:p>
        </w:tc>
      </w:tr>
      <w:tr w:rsidR="00842988" w:rsidRPr="00903E18" w14:paraId="05CF4380" w14:textId="77777777" w:rsidTr="00DC6B15">
        <w:tc>
          <w:tcPr>
            <w:tcW w:w="0" w:type="auto"/>
            <w:hideMark/>
          </w:tcPr>
          <w:p w14:paraId="07D432A7" w14:textId="77777777" w:rsidR="00C81986" w:rsidRPr="000F3585" w:rsidRDefault="00C81986" w:rsidP="007C31A6">
            <w:pPr>
              <w:jc w:val="center"/>
              <w:rPr>
                <w:rFonts w:cs="Times New Roman"/>
              </w:rPr>
            </w:pPr>
            <w:r w:rsidRPr="000F3585">
              <w:rPr>
                <w:rFonts w:cs="Times New Roman"/>
              </w:rPr>
              <w:t>Environmental</w:t>
            </w:r>
          </w:p>
        </w:tc>
        <w:tc>
          <w:tcPr>
            <w:tcW w:w="0" w:type="auto"/>
            <w:hideMark/>
          </w:tcPr>
          <w:p w14:paraId="72A7E650" w14:textId="77777777" w:rsidR="00C81986" w:rsidRPr="000F3585" w:rsidRDefault="00C81986" w:rsidP="007C31A6">
            <w:pPr>
              <w:jc w:val="center"/>
              <w:rPr>
                <w:rFonts w:cs="Times New Roman"/>
              </w:rPr>
            </w:pPr>
            <w:r w:rsidRPr="000F3585">
              <w:rPr>
                <w:rFonts w:cs="Times New Roman"/>
              </w:rPr>
              <w:t>Physiological disruption (e.g., visual/thermal strain, noise-induced stress)</w:t>
            </w:r>
          </w:p>
        </w:tc>
        <w:tc>
          <w:tcPr>
            <w:tcW w:w="0" w:type="auto"/>
            <w:hideMark/>
          </w:tcPr>
          <w:p w14:paraId="2E3B8D5D" w14:textId="77777777" w:rsidR="00C81986" w:rsidRPr="000F3585" w:rsidRDefault="00C81986" w:rsidP="007C31A6">
            <w:pPr>
              <w:jc w:val="center"/>
              <w:rPr>
                <w:rFonts w:cs="Times New Roman"/>
              </w:rPr>
            </w:pPr>
            <w:r w:rsidRPr="000F3585">
              <w:rPr>
                <w:rFonts w:cs="Times New Roman"/>
              </w:rPr>
              <w:t>Fatigue, cognitive impairment, systemic strain</w:t>
            </w:r>
          </w:p>
        </w:tc>
        <w:tc>
          <w:tcPr>
            <w:tcW w:w="0" w:type="auto"/>
            <w:hideMark/>
          </w:tcPr>
          <w:p w14:paraId="3DAAFDD4" w14:textId="77777777" w:rsidR="00C81986" w:rsidRPr="000F3585" w:rsidRDefault="00C81986" w:rsidP="007C31A6">
            <w:pPr>
              <w:jc w:val="center"/>
              <w:rPr>
                <w:rFonts w:cs="Times New Roman"/>
              </w:rPr>
            </w:pPr>
            <w:r w:rsidRPr="000F3585">
              <w:rPr>
                <w:rFonts w:cs="Times New Roman"/>
              </w:rPr>
              <w:t>Eye strain, headaches, hypertension</w:t>
            </w:r>
          </w:p>
        </w:tc>
        <w:tc>
          <w:tcPr>
            <w:tcW w:w="0" w:type="auto"/>
            <w:hideMark/>
          </w:tcPr>
          <w:p w14:paraId="63D88E12" w14:textId="77777777" w:rsidR="00C81986" w:rsidRPr="000F3585" w:rsidRDefault="00C81986" w:rsidP="007C31A6">
            <w:pPr>
              <w:jc w:val="center"/>
              <w:rPr>
                <w:rFonts w:cs="Times New Roman"/>
              </w:rPr>
            </w:pPr>
            <w:r w:rsidRPr="000F3585">
              <w:rPr>
                <w:rFonts w:cs="Times New Roman"/>
              </w:rPr>
              <w:t>[26–29]</w:t>
            </w:r>
          </w:p>
        </w:tc>
      </w:tr>
      <w:tr w:rsidR="00842988" w:rsidRPr="00903E18" w14:paraId="36814831" w14:textId="77777777" w:rsidTr="00DC6B15">
        <w:tc>
          <w:tcPr>
            <w:tcW w:w="0" w:type="auto"/>
            <w:hideMark/>
          </w:tcPr>
          <w:p w14:paraId="7B5D3BBF" w14:textId="77777777" w:rsidR="00C81986" w:rsidRPr="000F3585" w:rsidRDefault="00C81986" w:rsidP="007C31A6">
            <w:pPr>
              <w:jc w:val="center"/>
              <w:rPr>
                <w:rFonts w:cs="Times New Roman"/>
              </w:rPr>
            </w:pPr>
            <w:r w:rsidRPr="000F3585">
              <w:rPr>
                <w:rFonts w:cs="Times New Roman"/>
              </w:rPr>
              <w:t>Psychosocial</w:t>
            </w:r>
          </w:p>
        </w:tc>
        <w:tc>
          <w:tcPr>
            <w:tcW w:w="0" w:type="auto"/>
            <w:hideMark/>
          </w:tcPr>
          <w:p w14:paraId="42C9FBB5" w14:textId="77777777" w:rsidR="00C81986" w:rsidRPr="000F3585" w:rsidRDefault="00C81986" w:rsidP="007C31A6">
            <w:pPr>
              <w:jc w:val="center"/>
              <w:rPr>
                <w:rFonts w:cs="Times New Roman"/>
              </w:rPr>
            </w:pPr>
            <w:r w:rsidRPr="000F3585">
              <w:rPr>
                <w:rFonts w:cs="Times New Roman"/>
              </w:rPr>
              <w:t>Stress-mediated pathways (e.g., muscle tension, central sensitization)</w:t>
            </w:r>
          </w:p>
        </w:tc>
        <w:tc>
          <w:tcPr>
            <w:tcW w:w="0" w:type="auto"/>
            <w:hideMark/>
          </w:tcPr>
          <w:p w14:paraId="59CA2931" w14:textId="77777777" w:rsidR="00C81986" w:rsidRPr="000F3585" w:rsidRDefault="00C81986" w:rsidP="007C31A6">
            <w:pPr>
              <w:jc w:val="center"/>
              <w:rPr>
                <w:rFonts w:cs="Times New Roman"/>
              </w:rPr>
            </w:pPr>
            <w:r w:rsidRPr="000F3585">
              <w:rPr>
                <w:rFonts w:cs="Times New Roman"/>
              </w:rPr>
              <w:t>Amplified pain perception, emotional exhaustion</w:t>
            </w:r>
          </w:p>
        </w:tc>
        <w:tc>
          <w:tcPr>
            <w:tcW w:w="0" w:type="auto"/>
            <w:hideMark/>
          </w:tcPr>
          <w:p w14:paraId="3B9B1FDB" w14:textId="77777777" w:rsidR="00C81986" w:rsidRPr="000F3585" w:rsidRDefault="00C81986" w:rsidP="007C31A6">
            <w:pPr>
              <w:jc w:val="center"/>
              <w:rPr>
                <w:rFonts w:cs="Times New Roman"/>
              </w:rPr>
            </w:pPr>
            <w:r w:rsidRPr="000F3585">
              <w:rPr>
                <w:rFonts w:cs="Times New Roman"/>
              </w:rPr>
              <w:t>Burnout, increased WMSD reporting</w:t>
            </w:r>
          </w:p>
        </w:tc>
        <w:tc>
          <w:tcPr>
            <w:tcW w:w="0" w:type="auto"/>
            <w:hideMark/>
          </w:tcPr>
          <w:p w14:paraId="4921F358" w14:textId="77777777" w:rsidR="00C81986" w:rsidRPr="000F3585" w:rsidRDefault="00C81986" w:rsidP="007C31A6">
            <w:pPr>
              <w:jc w:val="center"/>
              <w:rPr>
                <w:rFonts w:cs="Times New Roman"/>
              </w:rPr>
            </w:pPr>
            <w:r w:rsidRPr="000F3585">
              <w:rPr>
                <w:rFonts w:cs="Times New Roman"/>
              </w:rPr>
              <w:t>[30–33]</w:t>
            </w:r>
          </w:p>
        </w:tc>
      </w:tr>
      <w:tr w:rsidR="00842988" w:rsidRPr="00903E18" w14:paraId="3554CAB3" w14:textId="77777777" w:rsidTr="00DC6B15">
        <w:tc>
          <w:tcPr>
            <w:tcW w:w="0" w:type="auto"/>
            <w:hideMark/>
          </w:tcPr>
          <w:p w14:paraId="18BB55BF" w14:textId="77777777" w:rsidR="00C81986" w:rsidRPr="000F3585" w:rsidRDefault="00C81986" w:rsidP="007C31A6">
            <w:pPr>
              <w:jc w:val="center"/>
              <w:rPr>
                <w:rFonts w:cs="Times New Roman"/>
              </w:rPr>
            </w:pPr>
            <w:r w:rsidRPr="000F3585">
              <w:rPr>
                <w:rFonts w:cs="Times New Roman"/>
              </w:rPr>
              <w:t>Cognitive</w:t>
            </w:r>
          </w:p>
        </w:tc>
        <w:tc>
          <w:tcPr>
            <w:tcW w:w="0" w:type="auto"/>
            <w:hideMark/>
          </w:tcPr>
          <w:p w14:paraId="65D540F9" w14:textId="77777777" w:rsidR="00C81986" w:rsidRPr="000F3585" w:rsidRDefault="00C81986" w:rsidP="007C31A6">
            <w:pPr>
              <w:jc w:val="center"/>
              <w:rPr>
                <w:rFonts w:cs="Times New Roman"/>
              </w:rPr>
            </w:pPr>
            <w:r w:rsidRPr="000F3585">
              <w:rPr>
                <w:rFonts w:cs="Times New Roman"/>
              </w:rPr>
              <w:t>Mental overload; poor human-system interface</w:t>
            </w:r>
          </w:p>
        </w:tc>
        <w:tc>
          <w:tcPr>
            <w:tcW w:w="0" w:type="auto"/>
            <w:hideMark/>
          </w:tcPr>
          <w:p w14:paraId="412A8053" w14:textId="77777777" w:rsidR="00C81986" w:rsidRPr="000F3585" w:rsidRDefault="00C81986" w:rsidP="007C31A6">
            <w:pPr>
              <w:jc w:val="center"/>
              <w:rPr>
                <w:rFonts w:cs="Times New Roman"/>
              </w:rPr>
            </w:pPr>
            <w:r w:rsidRPr="000F3585">
              <w:rPr>
                <w:rFonts w:cs="Times New Roman"/>
              </w:rPr>
              <w:t>Mental fatigue, errors, secondary physical strain</w:t>
            </w:r>
          </w:p>
        </w:tc>
        <w:tc>
          <w:tcPr>
            <w:tcW w:w="0" w:type="auto"/>
            <w:hideMark/>
          </w:tcPr>
          <w:p w14:paraId="1689D143" w14:textId="77777777" w:rsidR="00C81986" w:rsidRPr="000F3585" w:rsidRDefault="00C81986" w:rsidP="007C31A6">
            <w:pPr>
              <w:jc w:val="center"/>
              <w:rPr>
                <w:rFonts w:cs="Times New Roman"/>
              </w:rPr>
            </w:pPr>
            <w:r w:rsidRPr="000F3585">
              <w:rPr>
                <w:rFonts w:cs="Times New Roman"/>
              </w:rPr>
              <w:t>Tension headaches, neck/shoulder pain</w:t>
            </w:r>
          </w:p>
        </w:tc>
        <w:tc>
          <w:tcPr>
            <w:tcW w:w="0" w:type="auto"/>
            <w:hideMark/>
          </w:tcPr>
          <w:p w14:paraId="402DBA67" w14:textId="77777777" w:rsidR="00C81986" w:rsidRPr="000F3585" w:rsidRDefault="00C81986" w:rsidP="007C31A6">
            <w:pPr>
              <w:jc w:val="center"/>
              <w:rPr>
                <w:rFonts w:cs="Times New Roman"/>
              </w:rPr>
            </w:pPr>
            <w:r w:rsidRPr="000F3585">
              <w:rPr>
                <w:rFonts w:cs="Times New Roman"/>
              </w:rPr>
              <w:t>[34,35]</w:t>
            </w:r>
          </w:p>
        </w:tc>
      </w:tr>
      <w:tr w:rsidR="00842988" w:rsidRPr="00903E18" w14:paraId="13A22F8F" w14:textId="77777777" w:rsidTr="00DC6B15">
        <w:tc>
          <w:tcPr>
            <w:tcW w:w="0" w:type="auto"/>
            <w:hideMark/>
          </w:tcPr>
          <w:p w14:paraId="10F1013C" w14:textId="77777777" w:rsidR="00C81986" w:rsidRPr="000F3585" w:rsidRDefault="00C81986" w:rsidP="007C31A6">
            <w:pPr>
              <w:jc w:val="center"/>
              <w:rPr>
                <w:rFonts w:cs="Times New Roman"/>
              </w:rPr>
            </w:pPr>
            <w:r w:rsidRPr="000F3585">
              <w:rPr>
                <w:rFonts w:cs="Times New Roman"/>
              </w:rPr>
              <w:t>Combined</w:t>
            </w:r>
          </w:p>
        </w:tc>
        <w:tc>
          <w:tcPr>
            <w:tcW w:w="0" w:type="auto"/>
            <w:hideMark/>
          </w:tcPr>
          <w:p w14:paraId="08C903DC" w14:textId="77777777" w:rsidR="00C81986" w:rsidRPr="000F3585" w:rsidRDefault="00C81986" w:rsidP="007C31A6">
            <w:pPr>
              <w:jc w:val="center"/>
              <w:rPr>
                <w:rFonts w:cs="Times New Roman"/>
              </w:rPr>
            </w:pPr>
            <w:r w:rsidRPr="000F3585">
              <w:rPr>
                <w:rFonts w:cs="Times New Roman"/>
              </w:rPr>
              <w:t>Synergistic interactions across factors</w:t>
            </w:r>
          </w:p>
        </w:tc>
        <w:tc>
          <w:tcPr>
            <w:tcW w:w="0" w:type="auto"/>
            <w:hideMark/>
          </w:tcPr>
          <w:p w14:paraId="22A5D714" w14:textId="77777777" w:rsidR="00C81986" w:rsidRPr="000F3585" w:rsidRDefault="00C81986" w:rsidP="007C31A6">
            <w:pPr>
              <w:jc w:val="center"/>
              <w:rPr>
                <w:rFonts w:cs="Times New Roman"/>
              </w:rPr>
            </w:pPr>
            <w:r w:rsidRPr="000F3585">
              <w:rPr>
                <w:rFonts w:cs="Times New Roman"/>
              </w:rPr>
              <w:t>Multiplicative risk; multisite pain, disability</w:t>
            </w:r>
          </w:p>
        </w:tc>
        <w:tc>
          <w:tcPr>
            <w:tcW w:w="0" w:type="auto"/>
            <w:hideMark/>
          </w:tcPr>
          <w:p w14:paraId="4F38F108" w14:textId="77777777" w:rsidR="00C81986" w:rsidRPr="000F3585" w:rsidRDefault="00C81986" w:rsidP="007C31A6">
            <w:pPr>
              <w:jc w:val="center"/>
              <w:rPr>
                <w:rFonts w:cs="Times New Roman"/>
              </w:rPr>
            </w:pPr>
            <w:r w:rsidRPr="000F3585">
              <w:rPr>
                <w:rFonts w:cs="Times New Roman"/>
              </w:rPr>
              <w:t>Higher WMSD prevalence, prolonged absence</w:t>
            </w:r>
          </w:p>
        </w:tc>
        <w:tc>
          <w:tcPr>
            <w:tcW w:w="0" w:type="auto"/>
            <w:hideMark/>
          </w:tcPr>
          <w:p w14:paraId="5683A6C8" w14:textId="77777777" w:rsidR="00C81986" w:rsidRPr="000F3585" w:rsidRDefault="00C81986" w:rsidP="007C31A6">
            <w:pPr>
              <w:jc w:val="center"/>
              <w:rPr>
                <w:rFonts w:cs="Times New Roman"/>
              </w:rPr>
            </w:pPr>
            <w:r w:rsidRPr="000F3585">
              <w:rPr>
                <w:rFonts w:cs="Times New Roman"/>
              </w:rPr>
              <w:t>[36–38]</w:t>
            </w:r>
          </w:p>
        </w:tc>
      </w:tr>
    </w:tbl>
    <w:p w14:paraId="71B859FE" w14:textId="77777777" w:rsidR="000F3585" w:rsidRDefault="00C81986" w:rsidP="000F3585">
      <w:pPr>
        <w:spacing w:before="240" w:after="120"/>
        <w:outlineLvl w:val="0"/>
        <w:rPr>
          <w:rFonts w:cs="Times New Roman"/>
          <w:b/>
          <w:bCs/>
          <w:kern w:val="36"/>
          <w:sz w:val="22"/>
          <w:szCs w:val="22"/>
        </w:rPr>
      </w:pPr>
      <w:r w:rsidRPr="007863CD">
        <w:rPr>
          <w:rFonts w:cs="Times New Roman"/>
          <w:b/>
          <w:bCs/>
          <w:kern w:val="36"/>
          <w:sz w:val="22"/>
          <w:szCs w:val="22"/>
        </w:rPr>
        <w:t>3. Ergonomic Interventions and Risk Reduction Strategies</w:t>
      </w:r>
    </w:p>
    <w:p w14:paraId="663B2F2A" w14:textId="345310CD" w:rsidR="00AE55DA" w:rsidRDefault="00C81986" w:rsidP="000F3585">
      <w:pPr>
        <w:outlineLvl w:val="0"/>
      </w:pPr>
      <w:r w:rsidRPr="007863CD">
        <w:t>Ergonomic interventions aim to mitigate WMSD risks by modifying workplace design, tasks, tools, and organizational practices, thereby reducing exposure to physical, environmental, psychosocial, and cognitive stressors [39,40]. Evidence from systematic reviews indicates that multifaceted interventions yield greater reductions in musculoskeletal pain and injury incidence compared to single-component approaches [41,42].</w:t>
      </w:r>
    </w:p>
    <w:p w14:paraId="10A61CFE" w14:textId="77777777" w:rsidR="005B1D2D" w:rsidRPr="000F3585" w:rsidRDefault="005B1D2D" w:rsidP="000F3585">
      <w:pPr>
        <w:outlineLvl w:val="0"/>
        <w:rPr>
          <w:rFonts w:cs="Times New Roman"/>
          <w:b/>
          <w:bCs/>
          <w:kern w:val="36"/>
          <w:sz w:val="22"/>
          <w:szCs w:val="22"/>
          <w:rtl/>
        </w:rPr>
      </w:pPr>
    </w:p>
    <w:p w14:paraId="18296B48" w14:textId="77777777" w:rsidR="000F3585" w:rsidRDefault="00C81986" w:rsidP="000F3585">
      <w:pPr>
        <w:spacing w:after="120"/>
        <w:outlineLvl w:val="0"/>
        <w:rPr>
          <w:rFonts w:cs="Times New Roman"/>
          <w:kern w:val="36"/>
        </w:rPr>
      </w:pPr>
      <w:r w:rsidRPr="00ED3918">
        <w:rPr>
          <w:rFonts w:cs="Times New Roman"/>
          <w:kern w:val="36"/>
        </w:rPr>
        <w:t>3.1 Physical Interventions</w:t>
      </w:r>
    </w:p>
    <w:p w14:paraId="4E6D088D" w14:textId="7131A239" w:rsidR="00C81986" w:rsidRPr="000F3585" w:rsidRDefault="00C81986" w:rsidP="000F3585">
      <w:pPr>
        <w:jc w:val="both"/>
        <w:outlineLvl w:val="0"/>
        <w:rPr>
          <w:rFonts w:cs="Times New Roman"/>
          <w:kern w:val="36"/>
        </w:rPr>
      </w:pPr>
      <w:r w:rsidRPr="000F3585">
        <w:t>Physical interventions target biomechanical risks through workstation redesign, tool modification, and training. Adjustable furniture (e.g., sit-stand desks), ergonomic keyboards, and assistive lifting devices significantly decrease postural strain and forceful exertions [43]. Meta-analyses confirm moderate to large effects on reducing low back and upper limb pain in office and manual handling occupations [44].</w:t>
      </w:r>
    </w:p>
    <w:p w14:paraId="520CF585" w14:textId="77777777" w:rsidR="000F3585" w:rsidRDefault="000F3585" w:rsidP="00C81986">
      <w:pPr>
        <w:spacing w:before="100" w:beforeAutospacing="1" w:after="100" w:afterAutospacing="1"/>
        <w:outlineLvl w:val="0"/>
        <w:rPr>
          <w:rFonts w:cs="Times New Roman"/>
          <w:kern w:val="36"/>
        </w:rPr>
      </w:pPr>
    </w:p>
    <w:p w14:paraId="47BF1AA5" w14:textId="77777777" w:rsidR="00942D90" w:rsidRDefault="00942D90" w:rsidP="00C81986">
      <w:pPr>
        <w:spacing w:before="100" w:beforeAutospacing="1" w:after="100" w:afterAutospacing="1"/>
        <w:outlineLvl w:val="0"/>
        <w:rPr>
          <w:rFonts w:cs="Times New Roman"/>
          <w:kern w:val="36"/>
        </w:rPr>
      </w:pPr>
    </w:p>
    <w:p w14:paraId="47EDD6C6" w14:textId="2428AE9A" w:rsidR="00C81986" w:rsidRPr="00ED3918" w:rsidRDefault="00C81986" w:rsidP="00AB4677">
      <w:pPr>
        <w:ind w:right="340"/>
        <w:outlineLvl w:val="0"/>
        <w:rPr>
          <w:rFonts w:cs="Times New Roman"/>
          <w:kern w:val="36"/>
        </w:rPr>
      </w:pPr>
      <w:r w:rsidRPr="00ED3918">
        <w:rPr>
          <w:rFonts w:cs="Times New Roman"/>
          <w:kern w:val="36"/>
        </w:rPr>
        <w:t>3.2 Environmental Interventions</w:t>
      </w:r>
    </w:p>
    <w:p w14:paraId="0A5543B3" w14:textId="77777777" w:rsidR="00C81986" w:rsidRDefault="00C81986" w:rsidP="00AB4677">
      <w:pPr>
        <w:pStyle w:val="NormalWeb"/>
        <w:spacing w:before="0" w:beforeAutospacing="0" w:after="0" w:afterAutospacing="0"/>
        <w:ind w:right="340"/>
        <w:jc w:val="both"/>
        <w:rPr>
          <w:sz w:val="20"/>
          <w:szCs w:val="20"/>
        </w:rPr>
      </w:pPr>
      <w:r w:rsidRPr="00AE55DA">
        <w:rPr>
          <w:sz w:val="20"/>
          <w:szCs w:val="20"/>
        </w:rPr>
        <w:t>Optimizing lighting, noise control, and thermal conditions enhances comfort and cognitive performance. Implementation of glare-reducing screens, acoustic barriers, and climate controls has been associated with lower fatigue and headache prevalence [45].</w:t>
      </w:r>
    </w:p>
    <w:p w14:paraId="758B3377" w14:textId="77777777" w:rsidR="00AB4677" w:rsidRPr="00AE55DA" w:rsidRDefault="00AB4677" w:rsidP="00AB4677">
      <w:pPr>
        <w:pStyle w:val="NormalWeb"/>
        <w:spacing w:before="0" w:beforeAutospacing="0" w:after="0" w:afterAutospacing="0"/>
        <w:ind w:right="340"/>
        <w:jc w:val="both"/>
        <w:rPr>
          <w:sz w:val="20"/>
          <w:szCs w:val="20"/>
        </w:rPr>
      </w:pPr>
    </w:p>
    <w:p w14:paraId="0412CE5F" w14:textId="77777777" w:rsidR="00C81986" w:rsidRPr="00ED3918" w:rsidRDefault="00C81986" w:rsidP="00AB4677">
      <w:pPr>
        <w:spacing w:after="120"/>
        <w:outlineLvl w:val="0"/>
        <w:rPr>
          <w:rFonts w:cs="Times New Roman"/>
          <w:kern w:val="36"/>
        </w:rPr>
      </w:pPr>
      <w:r w:rsidRPr="00ED3918">
        <w:rPr>
          <w:rFonts w:cs="Times New Roman"/>
          <w:kern w:val="36"/>
        </w:rPr>
        <w:t>3.3 Psychosocial and Organizational Interventions</w:t>
      </w:r>
    </w:p>
    <w:p w14:paraId="6083C9A8" w14:textId="77777777" w:rsidR="00C81986" w:rsidRDefault="00C81986" w:rsidP="00AB4677">
      <w:pPr>
        <w:pStyle w:val="NormalWeb"/>
        <w:spacing w:before="0" w:beforeAutospacing="0" w:after="0" w:afterAutospacing="0"/>
        <w:jc w:val="both"/>
        <w:rPr>
          <w:sz w:val="20"/>
          <w:szCs w:val="20"/>
        </w:rPr>
      </w:pPr>
      <w:r w:rsidRPr="00AE55DA">
        <w:rPr>
          <w:sz w:val="20"/>
          <w:szCs w:val="20"/>
        </w:rPr>
        <w:t>Addressing workload, job control, and support through flexible scheduling, task rotation, and team-building reduces stress-mediated amplification of physical risks [46]. Organizational changes, such as increased autonomy, correlate with improved recovery and lower WMSD reporting [47].</w:t>
      </w:r>
    </w:p>
    <w:p w14:paraId="0A6859F4" w14:textId="77777777" w:rsidR="00AB4677" w:rsidRPr="00AE55DA" w:rsidRDefault="00AB4677" w:rsidP="00AB4677">
      <w:pPr>
        <w:pStyle w:val="NormalWeb"/>
        <w:spacing w:before="0" w:beforeAutospacing="0" w:after="0" w:afterAutospacing="0"/>
        <w:jc w:val="both"/>
        <w:rPr>
          <w:sz w:val="20"/>
          <w:szCs w:val="20"/>
        </w:rPr>
      </w:pPr>
    </w:p>
    <w:p w14:paraId="3ADC263F" w14:textId="77777777" w:rsidR="00C81986" w:rsidRPr="00ED3918" w:rsidRDefault="00C81986" w:rsidP="00942D90">
      <w:pPr>
        <w:spacing w:after="120"/>
        <w:outlineLvl w:val="0"/>
        <w:rPr>
          <w:rFonts w:cs="Times New Roman"/>
          <w:kern w:val="36"/>
          <w:rtl/>
        </w:rPr>
      </w:pPr>
      <w:r w:rsidRPr="00ED3918">
        <w:rPr>
          <w:rFonts w:cs="Times New Roman"/>
          <w:kern w:val="36"/>
        </w:rPr>
        <w:t>3.4 Participatory Ergonomics</w:t>
      </w:r>
    </w:p>
    <w:p w14:paraId="2AB40E2A" w14:textId="77777777" w:rsidR="00C81986" w:rsidRPr="00AE55DA" w:rsidRDefault="00C81986" w:rsidP="00942D90">
      <w:pPr>
        <w:pStyle w:val="NormalWeb"/>
        <w:spacing w:before="0" w:beforeAutospacing="0" w:after="0" w:afterAutospacing="0"/>
        <w:jc w:val="both"/>
        <w:rPr>
          <w:sz w:val="20"/>
          <w:szCs w:val="20"/>
        </w:rPr>
      </w:pPr>
      <w:r w:rsidRPr="00AE55DA">
        <w:rPr>
          <w:sz w:val="20"/>
          <w:szCs w:val="20"/>
        </w:rPr>
        <w:t>Participatory approaches actively engage workers in risk assessment and solution design, fostering ownership and sustainability. Recent trials demonstrate that participatory ergonomics (PE) effectively lowers WMSD incidence, sickness absence, and ergonomic exposure, particularly among nurses and industrial workers [48,49]. Systematic reviews highlight PE's superiority in high-risk settings due to context-specific adaptations [50].</w:t>
      </w:r>
    </w:p>
    <w:p w14:paraId="58901B7A" w14:textId="77777777" w:rsidR="00C81986" w:rsidRPr="00942D90" w:rsidRDefault="00C81986" w:rsidP="00AE55DA">
      <w:pPr>
        <w:pStyle w:val="NormalWeb"/>
        <w:jc w:val="center"/>
        <w:rPr>
          <w:b/>
          <w:bCs/>
          <w:sz w:val="18"/>
          <w:szCs w:val="18"/>
        </w:rPr>
      </w:pPr>
      <w:r w:rsidRPr="00942D90">
        <w:rPr>
          <w:rStyle w:val="Strong"/>
          <w:rFonts w:eastAsiaTheme="majorEastAsia"/>
          <w:sz w:val="18"/>
          <w:szCs w:val="18"/>
        </w:rPr>
        <w:t>Table 2: Overview of Ergonomic Interventions, Effectiveness, and Evidence</w:t>
      </w:r>
    </w:p>
    <w:tbl>
      <w:tblPr>
        <w:tblW w:w="0" w:type="auto"/>
        <w:tblBorders>
          <w:top w:val="single" w:sz="4" w:space="0" w:color="auto"/>
          <w:bottom w:val="single" w:sz="4" w:space="0" w:color="auto"/>
        </w:tblBorders>
        <w:tblLook w:val="04A0" w:firstRow="1" w:lastRow="0" w:firstColumn="1" w:lastColumn="0" w:noHBand="0" w:noVBand="1"/>
      </w:tblPr>
      <w:tblGrid>
        <w:gridCol w:w="2505"/>
        <w:gridCol w:w="2164"/>
        <w:gridCol w:w="2130"/>
        <w:gridCol w:w="1451"/>
        <w:gridCol w:w="1105"/>
      </w:tblGrid>
      <w:tr w:rsidR="00C81986" w:rsidRPr="00903E18" w14:paraId="3DB55C82" w14:textId="77777777" w:rsidTr="005B1D2D">
        <w:tc>
          <w:tcPr>
            <w:tcW w:w="0" w:type="auto"/>
            <w:tcBorders>
              <w:top w:val="single" w:sz="4" w:space="0" w:color="auto"/>
              <w:bottom w:val="single" w:sz="4" w:space="0" w:color="auto"/>
            </w:tcBorders>
            <w:vAlign w:val="center"/>
            <w:hideMark/>
          </w:tcPr>
          <w:p w14:paraId="2B7AF655" w14:textId="77777777" w:rsidR="00C81986" w:rsidRPr="00942D90" w:rsidRDefault="00C81986" w:rsidP="0071613E">
            <w:pPr>
              <w:jc w:val="center"/>
              <w:rPr>
                <w:rFonts w:cs="Times New Roman"/>
              </w:rPr>
            </w:pPr>
            <w:r w:rsidRPr="00942D90">
              <w:rPr>
                <w:rFonts w:cs="Times New Roman"/>
              </w:rPr>
              <w:t>Intervention Type</w:t>
            </w:r>
          </w:p>
        </w:tc>
        <w:tc>
          <w:tcPr>
            <w:tcW w:w="0" w:type="auto"/>
            <w:tcBorders>
              <w:top w:val="single" w:sz="4" w:space="0" w:color="auto"/>
              <w:bottom w:val="single" w:sz="4" w:space="0" w:color="auto"/>
            </w:tcBorders>
            <w:vAlign w:val="center"/>
            <w:hideMark/>
          </w:tcPr>
          <w:p w14:paraId="2748DAA5" w14:textId="77777777" w:rsidR="00C81986" w:rsidRPr="00942D90" w:rsidRDefault="00C81986" w:rsidP="0071613E">
            <w:pPr>
              <w:jc w:val="center"/>
              <w:rPr>
                <w:rFonts w:cs="Times New Roman"/>
              </w:rPr>
            </w:pPr>
            <w:r w:rsidRPr="00942D90">
              <w:rPr>
                <w:rFonts w:cs="Times New Roman"/>
              </w:rPr>
              <w:t>Description</w:t>
            </w:r>
          </w:p>
        </w:tc>
        <w:tc>
          <w:tcPr>
            <w:tcW w:w="0" w:type="auto"/>
            <w:tcBorders>
              <w:top w:val="single" w:sz="4" w:space="0" w:color="auto"/>
              <w:bottom w:val="single" w:sz="4" w:space="0" w:color="auto"/>
            </w:tcBorders>
            <w:vAlign w:val="center"/>
            <w:hideMark/>
          </w:tcPr>
          <w:p w14:paraId="30F8B586" w14:textId="77777777" w:rsidR="00C81986" w:rsidRPr="00942D90" w:rsidRDefault="00C81986" w:rsidP="0071613E">
            <w:pPr>
              <w:jc w:val="center"/>
              <w:rPr>
                <w:rFonts w:cs="Times New Roman"/>
              </w:rPr>
            </w:pPr>
            <w:r w:rsidRPr="00942D90">
              <w:rPr>
                <w:rFonts w:cs="Times New Roman"/>
              </w:rPr>
              <w:t>Key Outcomes</w:t>
            </w:r>
          </w:p>
        </w:tc>
        <w:tc>
          <w:tcPr>
            <w:tcW w:w="0" w:type="auto"/>
            <w:tcBorders>
              <w:top w:val="single" w:sz="4" w:space="0" w:color="auto"/>
              <w:bottom w:val="single" w:sz="4" w:space="0" w:color="auto"/>
            </w:tcBorders>
            <w:vAlign w:val="center"/>
            <w:hideMark/>
          </w:tcPr>
          <w:p w14:paraId="50589764" w14:textId="77777777" w:rsidR="00C81986" w:rsidRPr="00942D90" w:rsidRDefault="00C81986" w:rsidP="0071613E">
            <w:pPr>
              <w:jc w:val="center"/>
              <w:rPr>
                <w:rFonts w:cs="Times New Roman"/>
              </w:rPr>
            </w:pPr>
            <w:r w:rsidRPr="00942D90">
              <w:rPr>
                <w:rFonts w:cs="Times New Roman"/>
              </w:rPr>
              <w:t>Strength of Evidence</w:t>
            </w:r>
          </w:p>
        </w:tc>
        <w:tc>
          <w:tcPr>
            <w:tcW w:w="0" w:type="auto"/>
            <w:tcBorders>
              <w:top w:val="single" w:sz="4" w:space="0" w:color="auto"/>
              <w:bottom w:val="single" w:sz="4" w:space="0" w:color="auto"/>
            </w:tcBorders>
            <w:vAlign w:val="center"/>
            <w:hideMark/>
          </w:tcPr>
          <w:p w14:paraId="71B4BCA1" w14:textId="77777777" w:rsidR="00C81986" w:rsidRPr="00942D90" w:rsidRDefault="00C81986" w:rsidP="0071613E">
            <w:pPr>
              <w:jc w:val="center"/>
              <w:rPr>
                <w:rFonts w:cs="Times New Roman"/>
              </w:rPr>
            </w:pPr>
            <w:r w:rsidRPr="00942D90">
              <w:rPr>
                <w:rFonts w:cs="Times New Roman"/>
              </w:rPr>
              <w:t>References</w:t>
            </w:r>
          </w:p>
        </w:tc>
      </w:tr>
      <w:tr w:rsidR="00C81986" w:rsidRPr="00903E18" w14:paraId="144C378F" w14:textId="77777777" w:rsidTr="005B1D2D">
        <w:tc>
          <w:tcPr>
            <w:tcW w:w="0" w:type="auto"/>
            <w:tcBorders>
              <w:top w:val="single" w:sz="4" w:space="0" w:color="auto"/>
            </w:tcBorders>
            <w:vAlign w:val="center"/>
            <w:hideMark/>
          </w:tcPr>
          <w:p w14:paraId="71AAAFFB" w14:textId="77777777" w:rsidR="00C81986" w:rsidRPr="00942D90" w:rsidRDefault="00C81986" w:rsidP="0071613E">
            <w:pPr>
              <w:jc w:val="center"/>
              <w:rPr>
                <w:rFonts w:cs="Times New Roman"/>
              </w:rPr>
            </w:pPr>
            <w:r w:rsidRPr="00942D90">
              <w:rPr>
                <w:rFonts w:cs="Times New Roman"/>
              </w:rPr>
              <w:t>Physical</w:t>
            </w:r>
          </w:p>
        </w:tc>
        <w:tc>
          <w:tcPr>
            <w:tcW w:w="0" w:type="auto"/>
            <w:tcBorders>
              <w:top w:val="single" w:sz="4" w:space="0" w:color="auto"/>
            </w:tcBorders>
            <w:vAlign w:val="center"/>
            <w:hideMark/>
          </w:tcPr>
          <w:p w14:paraId="3C2E1856" w14:textId="77777777" w:rsidR="00C81986" w:rsidRPr="00942D90" w:rsidRDefault="00C81986" w:rsidP="0071613E">
            <w:pPr>
              <w:jc w:val="center"/>
              <w:rPr>
                <w:rFonts w:cs="Times New Roman"/>
              </w:rPr>
            </w:pPr>
            <w:r w:rsidRPr="00942D90">
              <w:rPr>
                <w:rFonts w:cs="Times New Roman"/>
              </w:rPr>
              <w:t>Workstation adjustments, tools, lifting training</w:t>
            </w:r>
          </w:p>
        </w:tc>
        <w:tc>
          <w:tcPr>
            <w:tcW w:w="0" w:type="auto"/>
            <w:tcBorders>
              <w:top w:val="single" w:sz="4" w:space="0" w:color="auto"/>
            </w:tcBorders>
            <w:vAlign w:val="center"/>
            <w:hideMark/>
          </w:tcPr>
          <w:p w14:paraId="4F68614D" w14:textId="77777777" w:rsidR="00C81986" w:rsidRPr="00942D90" w:rsidRDefault="00C81986" w:rsidP="0071613E">
            <w:pPr>
              <w:jc w:val="center"/>
              <w:rPr>
                <w:rFonts w:cs="Times New Roman"/>
              </w:rPr>
            </w:pPr>
            <w:r w:rsidRPr="00942D90">
              <w:rPr>
                <w:rFonts w:cs="Times New Roman"/>
              </w:rPr>
              <w:t>Reduced pain (neck, back, upper limbs); lower injury rates</w:t>
            </w:r>
          </w:p>
        </w:tc>
        <w:tc>
          <w:tcPr>
            <w:tcW w:w="0" w:type="auto"/>
            <w:tcBorders>
              <w:top w:val="single" w:sz="4" w:space="0" w:color="auto"/>
            </w:tcBorders>
            <w:vAlign w:val="center"/>
            <w:hideMark/>
          </w:tcPr>
          <w:p w14:paraId="72699A71" w14:textId="77777777" w:rsidR="00C81986" w:rsidRPr="00942D90" w:rsidRDefault="00C81986" w:rsidP="0071613E">
            <w:pPr>
              <w:jc w:val="center"/>
              <w:rPr>
                <w:rFonts w:cs="Times New Roman"/>
              </w:rPr>
            </w:pPr>
            <w:r w:rsidRPr="00942D90">
              <w:rPr>
                <w:rFonts w:cs="Times New Roman"/>
              </w:rPr>
              <w:t>Strong (meta-analyses)</w:t>
            </w:r>
          </w:p>
        </w:tc>
        <w:tc>
          <w:tcPr>
            <w:tcW w:w="0" w:type="auto"/>
            <w:tcBorders>
              <w:top w:val="single" w:sz="4" w:space="0" w:color="auto"/>
            </w:tcBorders>
            <w:vAlign w:val="center"/>
            <w:hideMark/>
          </w:tcPr>
          <w:p w14:paraId="5856C83A" w14:textId="77777777" w:rsidR="00C81986" w:rsidRPr="00942D90" w:rsidRDefault="00C81986" w:rsidP="0071613E">
            <w:pPr>
              <w:jc w:val="center"/>
              <w:rPr>
                <w:rFonts w:cs="Times New Roman"/>
              </w:rPr>
            </w:pPr>
            <w:r w:rsidRPr="00942D90">
              <w:rPr>
                <w:rFonts w:cs="Times New Roman"/>
              </w:rPr>
              <w:t>[41–44]</w:t>
            </w:r>
          </w:p>
        </w:tc>
      </w:tr>
      <w:tr w:rsidR="00C81986" w:rsidRPr="00903E18" w14:paraId="7EB7BA71" w14:textId="77777777" w:rsidTr="0071613E">
        <w:tc>
          <w:tcPr>
            <w:tcW w:w="0" w:type="auto"/>
            <w:vAlign w:val="center"/>
            <w:hideMark/>
          </w:tcPr>
          <w:p w14:paraId="4AFC1E4C" w14:textId="77777777" w:rsidR="00C81986" w:rsidRPr="00942D90" w:rsidRDefault="00C81986" w:rsidP="0071613E">
            <w:pPr>
              <w:jc w:val="center"/>
              <w:rPr>
                <w:rFonts w:cs="Times New Roman"/>
              </w:rPr>
            </w:pPr>
            <w:r w:rsidRPr="00942D90">
              <w:rPr>
                <w:rFonts w:cs="Times New Roman"/>
              </w:rPr>
              <w:t>Environmental</w:t>
            </w:r>
          </w:p>
        </w:tc>
        <w:tc>
          <w:tcPr>
            <w:tcW w:w="0" w:type="auto"/>
            <w:vAlign w:val="center"/>
            <w:hideMark/>
          </w:tcPr>
          <w:p w14:paraId="45233009" w14:textId="77777777" w:rsidR="00C81986" w:rsidRPr="00942D90" w:rsidRDefault="00C81986" w:rsidP="0071613E">
            <w:pPr>
              <w:jc w:val="center"/>
              <w:rPr>
                <w:rFonts w:cs="Times New Roman"/>
              </w:rPr>
            </w:pPr>
            <w:r w:rsidRPr="00942D90">
              <w:rPr>
                <w:rFonts w:cs="Times New Roman"/>
              </w:rPr>
              <w:t>Lighting, noise, temperature controls</w:t>
            </w:r>
          </w:p>
        </w:tc>
        <w:tc>
          <w:tcPr>
            <w:tcW w:w="0" w:type="auto"/>
            <w:vAlign w:val="center"/>
            <w:hideMark/>
          </w:tcPr>
          <w:p w14:paraId="71F6AEB8" w14:textId="77777777" w:rsidR="00C81986" w:rsidRPr="00942D90" w:rsidRDefault="00C81986" w:rsidP="0071613E">
            <w:pPr>
              <w:jc w:val="center"/>
              <w:rPr>
                <w:rFonts w:cs="Times New Roman"/>
              </w:rPr>
            </w:pPr>
            <w:r w:rsidRPr="00942D90">
              <w:rPr>
                <w:rFonts w:cs="Times New Roman"/>
              </w:rPr>
              <w:t>Decreased fatigue, headaches, cognitive strain</w:t>
            </w:r>
          </w:p>
        </w:tc>
        <w:tc>
          <w:tcPr>
            <w:tcW w:w="0" w:type="auto"/>
            <w:vAlign w:val="center"/>
            <w:hideMark/>
          </w:tcPr>
          <w:p w14:paraId="1F99C6CD" w14:textId="77777777" w:rsidR="00C81986" w:rsidRPr="00942D90" w:rsidRDefault="00C81986" w:rsidP="0071613E">
            <w:pPr>
              <w:jc w:val="center"/>
              <w:rPr>
                <w:rFonts w:cs="Times New Roman"/>
              </w:rPr>
            </w:pPr>
            <w:r w:rsidRPr="00942D90">
              <w:rPr>
                <w:rFonts w:cs="Times New Roman"/>
              </w:rPr>
              <w:t>Moderate</w:t>
            </w:r>
          </w:p>
        </w:tc>
        <w:tc>
          <w:tcPr>
            <w:tcW w:w="0" w:type="auto"/>
            <w:vAlign w:val="center"/>
            <w:hideMark/>
          </w:tcPr>
          <w:p w14:paraId="696C66FC" w14:textId="77777777" w:rsidR="00C81986" w:rsidRPr="00942D90" w:rsidRDefault="00C81986" w:rsidP="0071613E">
            <w:pPr>
              <w:jc w:val="center"/>
              <w:rPr>
                <w:rFonts w:cs="Times New Roman"/>
              </w:rPr>
            </w:pPr>
            <w:r w:rsidRPr="00942D90">
              <w:rPr>
                <w:rFonts w:cs="Times New Roman"/>
              </w:rPr>
              <w:t>[45]</w:t>
            </w:r>
          </w:p>
        </w:tc>
      </w:tr>
      <w:tr w:rsidR="00C81986" w:rsidRPr="00903E18" w14:paraId="5F5DEB54" w14:textId="77777777" w:rsidTr="0071613E">
        <w:tc>
          <w:tcPr>
            <w:tcW w:w="0" w:type="auto"/>
            <w:vAlign w:val="center"/>
            <w:hideMark/>
          </w:tcPr>
          <w:p w14:paraId="69788CA4" w14:textId="77777777" w:rsidR="00C81986" w:rsidRPr="00942D90" w:rsidRDefault="00C81986" w:rsidP="0071613E">
            <w:pPr>
              <w:jc w:val="center"/>
              <w:rPr>
                <w:rFonts w:cs="Times New Roman"/>
              </w:rPr>
            </w:pPr>
            <w:r w:rsidRPr="00942D90">
              <w:rPr>
                <w:rFonts w:cs="Times New Roman"/>
              </w:rPr>
              <w:t>Psychosocial/Organizational</w:t>
            </w:r>
          </w:p>
        </w:tc>
        <w:tc>
          <w:tcPr>
            <w:tcW w:w="0" w:type="auto"/>
            <w:vAlign w:val="center"/>
            <w:hideMark/>
          </w:tcPr>
          <w:p w14:paraId="50B858B4" w14:textId="77777777" w:rsidR="00C81986" w:rsidRPr="00942D90" w:rsidRDefault="00C81986" w:rsidP="0071613E">
            <w:pPr>
              <w:jc w:val="center"/>
              <w:rPr>
                <w:rFonts w:cs="Times New Roman"/>
              </w:rPr>
            </w:pPr>
            <w:r w:rsidRPr="00942D90">
              <w:rPr>
                <w:rFonts w:cs="Times New Roman"/>
              </w:rPr>
              <w:t>Workload management, job control, support</w:t>
            </w:r>
          </w:p>
        </w:tc>
        <w:tc>
          <w:tcPr>
            <w:tcW w:w="0" w:type="auto"/>
            <w:vAlign w:val="center"/>
            <w:hideMark/>
          </w:tcPr>
          <w:p w14:paraId="4B2FC529" w14:textId="77777777" w:rsidR="00C81986" w:rsidRPr="00942D90" w:rsidRDefault="00C81986" w:rsidP="0071613E">
            <w:pPr>
              <w:jc w:val="center"/>
              <w:rPr>
                <w:rFonts w:cs="Times New Roman"/>
              </w:rPr>
            </w:pPr>
            <w:r w:rsidRPr="00942D90">
              <w:rPr>
                <w:rFonts w:cs="Times New Roman"/>
              </w:rPr>
              <w:t>Lower stress, burnout; indirect WMSD reduction</w:t>
            </w:r>
          </w:p>
        </w:tc>
        <w:tc>
          <w:tcPr>
            <w:tcW w:w="0" w:type="auto"/>
            <w:vAlign w:val="center"/>
            <w:hideMark/>
          </w:tcPr>
          <w:p w14:paraId="02AB9296" w14:textId="77777777" w:rsidR="00C81986" w:rsidRPr="00942D90" w:rsidRDefault="00C81986" w:rsidP="0071613E">
            <w:pPr>
              <w:jc w:val="center"/>
              <w:rPr>
                <w:rFonts w:cs="Times New Roman"/>
              </w:rPr>
            </w:pPr>
            <w:r w:rsidRPr="00942D90">
              <w:rPr>
                <w:rFonts w:cs="Times New Roman"/>
              </w:rPr>
              <w:t>Moderate to strong</w:t>
            </w:r>
          </w:p>
        </w:tc>
        <w:tc>
          <w:tcPr>
            <w:tcW w:w="0" w:type="auto"/>
            <w:vAlign w:val="center"/>
            <w:hideMark/>
          </w:tcPr>
          <w:p w14:paraId="0B232C0F" w14:textId="77777777" w:rsidR="00C81986" w:rsidRPr="00942D90" w:rsidRDefault="00C81986" w:rsidP="0071613E">
            <w:pPr>
              <w:jc w:val="center"/>
              <w:rPr>
                <w:rFonts w:cs="Times New Roman"/>
              </w:rPr>
            </w:pPr>
            <w:r w:rsidRPr="00942D90">
              <w:rPr>
                <w:rFonts w:cs="Times New Roman"/>
              </w:rPr>
              <w:t>[46,47]</w:t>
            </w:r>
          </w:p>
        </w:tc>
      </w:tr>
      <w:tr w:rsidR="00C81986" w:rsidRPr="00903E18" w14:paraId="3E760921" w14:textId="77777777" w:rsidTr="003F1363">
        <w:tc>
          <w:tcPr>
            <w:tcW w:w="0" w:type="auto"/>
            <w:tcBorders>
              <w:bottom w:val="single" w:sz="4" w:space="0" w:color="auto"/>
            </w:tcBorders>
            <w:vAlign w:val="center"/>
            <w:hideMark/>
          </w:tcPr>
          <w:p w14:paraId="3119E8F9" w14:textId="77777777" w:rsidR="00C81986" w:rsidRPr="00942D90" w:rsidRDefault="00C81986" w:rsidP="0071613E">
            <w:pPr>
              <w:jc w:val="center"/>
              <w:rPr>
                <w:rFonts w:cs="Times New Roman"/>
              </w:rPr>
            </w:pPr>
            <w:r w:rsidRPr="00942D90">
              <w:rPr>
                <w:rFonts w:cs="Times New Roman"/>
              </w:rPr>
              <w:t>Participatory</w:t>
            </w:r>
          </w:p>
        </w:tc>
        <w:tc>
          <w:tcPr>
            <w:tcW w:w="0" w:type="auto"/>
            <w:tcBorders>
              <w:bottom w:val="single" w:sz="4" w:space="0" w:color="auto"/>
            </w:tcBorders>
            <w:vAlign w:val="center"/>
            <w:hideMark/>
          </w:tcPr>
          <w:p w14:paraId="4A0B5F7D" w14:textId="77777777" w:rsidR="00C81986" w:rsidRPr="00942D90" w:rsidRDefault="00C81986" w:rsidP="0071613E">
            <w:pPr>
              <w:jc w:val="center"/>
              <w:rPr>
                <w:rFonts w:cs="Times New Roman"/>
              </w:rPr>
            </w:pPr>
            <w:r w:rsidRPr="00942D90">
              <w:rPr>
                <w:rFonts w:cs="Times New Roman"/>
              </w:rPr>
              <w:t>Worker involvement in design and implementation</w:t>
            </w:r>
          </w:p>
        </w:tc>
        <w:tc>
          <w:tcPr>
            <w:tcW w:w="0" w:type="auto"/>
            <w:tcBorders>
              <w:bottom w:val="single" w:sz="4" w:space="0" w:color="auto"/>
            </w:tcBorders>
            <w:vAlign w:val="center"/>
            <w:hideMark/>
          </w:tcPr>
          <w:p w14:paraId="315B1FBE" w14:textId="77777777" w:rsidR="00C81986" w:rsidRPr="00942D90" w:rsidRDefault="00C81986" w:rsidP="0071613E">
            <w:pPr>
              <w:jc w:val="center"/>
              <w:rPr>
                <w:rFonts w:cs="Times New Roman"/>
              </w:rPr>
            </w:pPr>
            <w:r w:rsidRPr="00942D90">
              <w:rPr>
                <w:rFonts w:cs="Times New Roman"/>
              </w:rPr>
              <w:t>Reduced WMSDs, absence; improved performance</w:t>
            </w:r>
          </w:p>
        </w:tc>
        <w:tc>
          <w:tcPr>
            <w:tcW w:w="0" w:type="auto"/>
            <w:tcBorders>
              <w:bottom w:val="single" w:sz="4" w:space="0" w:color="auto"/>
            </w:tcBorders>
            <w:vAlign w:val="center"/>
            <w:hideMark/>
          </w:tcPr>
          <w:p w14:paraId="0FDD93FE" w14:textId="77777777" w:rsidR="00C81986" w:rsidRPr="00942D90" w:rsidRDefault="00C81986" w:rsidP="0071613E">
            <w:pPr>
              <w:jc w:val="center"/>
              <w:rPr>
                <w:rFonts w:cs="Times New Roman"/>
              </w:rPr>
            </w:pPr>
            <w:r w:rsidRPr="00942D90">
              <w:rPr>
                <w:rFonts w:cs="Times New Roman"/>
              </w:rPr>
              <w:t>Strong (systematic reviews)</w:t>
            </w:r>
          </w:p>
        </w:tc>
        <w:tc>
          <w:tcPr>
            <w:tcW w:w="0" w:type="auto"/>
            <w:tcBorders>
              <w:bottom w:val="single" w:sz="4" w:space="0" w:color="auto"/>
            </w:tcBorders>
            <w:vAlign w:val="center"/>
            <w:hideMark/>
          </w:tcPr>
          <w:p w14:paraId="42833431" w14:textId="77777777" w:rsidR="00C81986" w:rsidRPr="00942D90" w:rsidRDefault="00C81986" w:rsidP="0071613E">
            <w:pPr>
              <w:jc w:val="center"/>
              <w:rPr>
                <w:rFonts w:cs="Times New Roman"/>
              </w:rPr>
            </w:pPr>
            <w:r w:rsidRPr="00942D90">
              <w:rPr>
                <w:rFonts w:cs="Times New Roman"/>
              </w:rPr>
              <w:t>[48–50]</w:t>
            </w:r>
          </w:p>
        </w:tc>
      </w:tr>
    </w:tbl>
    <w:p w14:paraId="7D065395" w14:textId="77777777" w:rsidR="00AE55DA" w:rsidRDefault="00AE55DA" w:rsidP="0012593F">
      <w:pPr>
        <w:pStyle w:val="Heading4"/>
        <w:bidi w:val="0"/>
        <w:rPr>
          <w:rFonts w:cs="Times New Roman"/>
          <w:kern w:val="36"/>
          <w:sz w:val="28"/>
          <w:szCs w:val="28"/>
          <w:rtl/>
        </w:rPr>
      </w:pPr>
    </w:p>
    <w:p w14:paraId="5148FBD9" w14:textId="4937CED3" w:rsidR="00C81986" w:rsidRPr="003931A5" w:rsidRDefault="00C81986" w:rsidP="00AE55DA">
      <w:pPr>
        <w:pStyle w:val="Heading4"/>
        <w:bidi w:val="0"/>
        <w:rPr>
          <w:rFonts w:cs="Times New Roman"/>
          <w:b w:val="0"/>
          <w:bCs w:val="0"/>
          <w:i/>
          <w:iCs/>
          <w:kern w:val="36"/>
          <w:sz w:val="28"/>
          <w:szCs w:val="28"/>
        </w:rPr>
      </w:pPr>
      <w:r w:rsidRPr="007517B5">
        <w:rPr>
          <w:rFonts w:cs="Times New Roman"/>
          <w:kern w:val="36"/>
          <w:sz w:val="22"/>
          <w:szCs w:val="22"/>
        </w:rPr>
        <w:t>4. Challenges and Solutions in Ergonomic Interventions</w:t>
      </w:r>
    </w:p>
    <w:p w14:paraId="77F28AE5" w14:textId="77777777" w:rsidR="00C81986" w:rsidRPr="007517B5" w:rsidRDefault="00C81986" w:rsidP="00C81986">
      <w:pPr>
        <w:pStyle w:val="NormalWeb"/>
        <w:jc w:val="both"/>
        <w:rPr>
          <w:sz w:val="20"/>
          <w:szCs w:val="20"/>
        </w:rPr>
      </w:pPr>
      <w:r w:rsidRPr="007517B5">
        <w:rPr>
          <w:sz w:val="20"/>
          <w:szCs w:val="20"/>
        </w:rPr>
        <w:t>Although ergonomic interventions have demonstrated substantial potential for reducing work-related musculoskeletal disorders (WMSDs) and improving worker well-being, their real-world implementation frequently encounters multifaceted barriers that compromise effectiveness, scalability, and long-term sustainability [51,52]. These challenges are particularly pronounced in small- and medium-sized enterprises (SMEs), resource-limited settings, and rapidly evolving industries where digital transformation and hybrid work models introduce new complexities [53,54]. Addressing these obstacles requires a nuanced understanding of organizational, economic, human, and systemic factors, as isolated technical solutions often fail without concomitant cultural and structural changes [55].</w:t>
      </w:r>
    </w:p>
    <w:p w14:paraId="2EC775F1" w14:textId="77777777" w:rsidR="00C81986" w:rsidRPr="00ED3918" w:rsidRDefault="00C81986" w:rsidP="0012593F">
      <w:pPr>
        <w:pStyle w:val="Heading4"/>
        <w:bidi w:val="0"/>
        <w:rPr>
          <w:rFonts w:cs="Times New Roman"/>
          <w:b w:val="0"/>
          <w:bCs w:val="0"/>
          <w:i/>
          <w:iCs/>
          <w:kern w:val="36"/>
          <w:sz w:val="20"/>
          <w:szCs w:val="20"/>
        </w:rPr>
      </w:pPr>
      <w:r w:rsidRPr="00ED3918">
        <w:rPr>
          <w:rFonts w:cs="Times New Roman"/>
          <w:b w:val="0"/>
          <w:bCs w:val="0"/>
          <w:kern w:val="36"/>
          <w:sz w:val="20"/>
          <w:szCs w:val="20"/>
        </w:rPr>
        <w:t>4.1 Organizational and Cultural Challenges</w:t>
      </w:r>
    </w:p>
    <w:p w14:paraId="2CD53FD7" w14:textId="77777777" w:rsidR="00C5273C" w:rsidRDefault="00C81986" w:rsidP="00C81986">
      <w:pPr>
        <w:pStyle w:val="NormalWeb"/>
        <w:jc w:val="both"/>
        <w:rPr>
          <w:sz w:val="20"/>
          <w:szCs w:val="20"/>
        </w:rPr>
      </w:pPr>
      <w:r w:rsidRPr="007517B5">
        <w:rPr>
          <w:sz w:val="20"/>
          <w:szCs w:val="20"/>
        </w:rPr>
        <w:t xml:space="preserve">One of the most pervasive barriers is organizational resistance rooted in entrenched cultural norms and low prioritization of ergonomics. Management may view ergonomic initiatives as non-core activities that disrupt established workflows or yield delayed returns on investment, leading to insufficient leadership commitment [56]. Workers, in turn, may exhibit skepticism or reluctance due to perceived increases in workload during transition periods, fear of job changes, or habitual adherence to inefficient practices [57]. For instance, in manufacturing settings, long-standing manual handling techniques are often culturally ingrained, making adoption of new tools or postures difficult without targeted change management [58]. Additionally, hierarchical structures can stifle open communication about risks, perpetuating a "blame culture" rather than a proactive safety ethos [59]. Recent studies in </w:t>
      </w:r>
    </w:p>
    <w:p w14:paraId="4A6D2E9C" w14:textId="77777777" w:rsidR="00C5273C" w:rsidRDefault="00C5273C" w:rsidP="00C81986">
      <w:pPr>
        <w:pStyle w:val="NormalWeb"/>
        <w:jc w:val="both"/>
        <w:rPr>
          <w:sz w:val="20"/>
          <w:szCs w:val="20"/>
        </w:rPr>
      </w:pPr>
    </w:p>
    <w:p w14:paraId="3504770B" w14:textId="0BFED63A" w:rsidR="00C81986" w:rsidRPr="007517B5" w:rsidRDefault="00C81986" w:rsidP="00C81986">
      <w:pPr>
        <w:pStyle w:val="NormalWeb"/>
        <w:jc w:val="both"/>
        <w:rPr>
          <w:sz w:val="20"/>
          <w:szCs w:val="20"/>
        </w:rPr>
      </w:pPr>
      <w:r w:rsidRPr="007517B5">
        <w:rPr>
          <w:sz w:val="20"/>
          <w:szCs w:val="20"/>
        </w:rPr>
        <w:t>healthcare highlight how shift-based scheduling and high turnover exacerbate these issues, resulting in inconsistent application of interventions [60].</w:t>
      </w:r>
    </w:p>
    <w:p w14:paraId="0757A855" w14:textId="77777777" w:rsidR="00C81986" w:rsidRPr="00ED3918" w:rsidRDefault="00C81986" w:rsidP="0012593F">
      <w:pPr>
        <w:pStyle w:val="Heading4"/>
        <w:bidi w:val="0"/>
        <w:rPr>
          <w:rFonts w:cs="Times New Roman"/>
          <w:b w:val="0"/>
          <w:bCs w:val="0"/>
          <w:i/>
          <w:iCs/>
          <w:kern w:val="36"/>
          <w:sz w:val="20"/>
          <w:szCs w:val="20"/>
        </w:rPr>
      </w:pPr>
      <w:r w:rsidRPr="00ED3918">
        <w:rPr>
          <w:rFonts w:cs="Times New Roman"/>
          <w:b w:val="0"/>
          <w:bCs w:val="0"/>
          <w:kern w:val="36"/>
          <w:sz w:val="20"/>
          <w:szCs w:val="20"/>
        </w:rPr>
        <w:t>4.2 Economic and Resource Constraints</w:t>
      </w:r>
    </w:p>
    <w:p w14:paraId="48E1755B" w14:textId="77777777" w:rsidR="00C81986" w:rsidRPr="007517B5" w:rsidRDefault="00C81986" w:rsidP="00C81986">
      <w:pPr>
        <w:pStyle w:val="NormalWeb"/>
        <w:jc w:val="both"/>
        <w:rPr>
          <w:sz w:val="20"/>
          <w:szCs w:val="20"/>
        </w:rPr>
      </w:pPr>
      <w:r w:rsidRPr="007517B5">
        <w:rPr>
          <w:sz w:val="20"/>
          <w:szCs w:val="20"/>
        </w:rPr>
        <w:t>Financial limitations represent a critical impediment, particularly for SMEs, which comprise the majority of global workplaces yet often lack dedicated occupational health budgets [61]. Initial costs for ergonomic equipment (e.g., adjustable workstations, assistive devices), consultant fees, and employee training can appear prohibitive, even though evidence shows long-term savings through reduced absenteeism, compensation claims, and productivity losses [62]. In low-resource contexts, competing priorities such as operational efficiency or regulatory compliance further deprioritize ergonomics [63]. Moreover, the intangible nature of benefits (e.g., improved morale) complicates cost-benefit analyses, deterring investment [64]. Post-pandemic economic pressures have intensified this challenge, with many organizations postponing non-essential expenditures [65].</w:t>
      </w:r>
    </w:p>
    <w:p w14:paraId="0C6011E8" w14:textId="77777777" w:rsidR="00C81986" w:rsidRPr="00ED3918" w:rsidRDefault="00C81986" w:rsidP="0012593F">
      <w:pPr>
        <w:pStyle w:val="Heading4"/>
        <w:bidi w:val="0"/>
        <w:rPr>
          <w:rFonts w:cs="Times New Roman"/>
          <w:b w:val="0"/>
          <w:bCs w:val="0"/>
          <w:i/>
          <w:iCs/>
          <w:kern w:val="36"/>
          <w:sz w:val="20"/>
          <w:szCs w:val="20"/>
        </w:rPr>
      </w:pPr>
      <w:r w:rsidRPr="00ED3918">
        <w:rPr>
          <w:rFonts w:cs="Times New Roman"/>
          <w:b w:val="0"/>
          <w:bCs w:val="0"/>
          <w:kern w:val="36"/>
          <w:sz w:val="20"/>
          <w:szCs w:val="20"/>
        </w:rPr>
        <w:t>4.3 Worker Participation and Engagement Challenges</w:t>
      </w:r>
    </w:p>
    <w:p w14:paraId="5C9BAFB2" w14:textId="77777777" w:rsidR="00C81986" w:rsidRPr="007517B5" w:rsidRDefault="00C81986" w:rsidP="00C81986">
      <w:pPr>
        <w:pStyle w:val="NormalWeb"/>
        <w:jc w:val="both"/>
        <w:rPr>
          <w:sz w:val="20"/>
          <w:szCs w:val="20"/>
        </w:rPr>
      </w:pPr>
      <w:r w:rsidRPr="007517B5">
        <w:rPr>
          <w:sz w:val="20"/>
          <w:szCs w:val="20"/>
        </w:rPr>
        <w:t>Effective ergonomics demands active worker involvement, yet low participation rates frequently undermine outcomes. Time constraints, fatigue from high workloads, and lack of perceived influence discourage engagement [66]. In diverse workforces, language barriers, varying literacy levels, or transient employment (e.g., gig economy) further complicate inclusive processes [67]. When interventions are imposed top-down without worker input, solutions may fail to address context-specific risks, leading to poor adoption and resentment [68]. Participatory ergonomics (PE) studies reveal that without adequate facilitation and incentives, employee contributions remain superficial, limiting innovation and sustainability [69].</w:t>
      </w:r>
    </w:p>
    <w:p w14:paraId="5BB02544" w14:textId="77777777" w:rsidR="00C81986" w:rsidRPr="00ED3918" w:rsidRDefault="00C81986" w:rsidP="0012593F">
      <w:pPr>
        <w:pStyle w:val="Heading4"/>
        <w:bidi w:val="0"/>
        <w:rPr>
          <w:rFonts w:cs="Times New Roman"/>
          <w:b w:val="0"/>
          <w:bCs w:val="0"/>
          <w:i/>
          <w:iCs/>
          <w:kern w:val="36"/>
          <w:sz w:val="20"/>
          <w:szCs w:val="20"/>
        </w:rPr>
      </w:pPr>
      <w:r w:rsidRPr="00ED3918">
        <w:rPr>
          <w:rFonts w:cs="Times New Roman"/>
          <w:b w:val="0"/>
          <w:bCs w:val="0"/>
          <w:kern w:val="36"/>
          <w:sz w:val="20"/>
          <w:szCs w:val="20"/>
        </w:rPr>
        <w:t>4.4 Sustainability and Long-Term Maintenance Challenges</w:t>
      </w:r>
    </w:p>
    <w:p w14:paraId="0F92873C" w14:textId="77777777" w:rsidR="00C81986" w:rsidRPr="007517B5" w:rsidRDefault="00C81986" w:rsidP="00C81986">
      <w:pPr>
        <w:pStyle w:val="NormalWeb"/>
        <w:jc w:val="both"/>
        <w:rPr>
          <w:sz w:val="20"/>
          <w:szCs w:val="20"/>
        </w:rPr>
      </w:pPr>
      <w:r w:rsidRPr="007517B5">
        <w:rPr>
          <w:sz w:val="20"/>
          <w:szCs w:val="20"/>
        </w:rPr>
        <w:t>Even successful initial implementations often erode over time due to inadequate monitoring, workforce turnover, evolving job demands, or organizational changes (e.g., restructuring) [70]. Without embedded evaluation mechanisms, interventions lose fidelity, and emerging risks—such as those from prolonged remote work or automation—go unaddressed [71]. Follow-up data from longitudinal trials indicate that benefits diminish after 12–24 months in the absence of refresher training or adaptive updates [72].</w:t>
      </w:r>
    </w:p>
    <w:p w14:paraId="035AC0FF" w14:textId="77777777" w:rsidR="00C81986" w:rsidRPr="002F4E06" w:rsidRDefault="00C81986" w:rsidP="0012593F">
      <w:pPr>
        <w:pStyle w:val="Heading4"/>
        <w:bidi w:val="0"/>
        <w:rPr>
          <w:rFonts w:cs="Times New Roman"/>
          <w:b w:val="0"/>
          <w:bCs w:val="0"/>
          <w:i/>
          <w:iCs/>
          <w:kern w:val="36"/>
          <w:sz w:val="20"/>
          <w:szCs w:val="20"/>
        </w:rPr>
      </w:pPr>
      <w:r w:rsidRPr="002F4E06">
        <w:rPr>
          <w:rFonts w:cs="Times New Roman"/>
          <w:b w:val="0"/>
          <w:bCs w:val="0"/>
          <w:kern w:val="36"/>
          <w:sz w:val="20"/>
          <w:szCs w:val="20"/>
        </w:rPr>
        <w:t>4.5 Proposed Solutions and Strategies</w:t>
      </w:r>
    </w:p>
    <w:p w14:paraId="0700D0AD" w14:textId="77777777" w:rsidR="00C63986" w:rsidRDefault="00C81986" w:rsidP="00C81986">
      <w:pPr>
        <w:pStyle w:val="NormalWeb"/>
        <w:jc w:val="both"/>
        <w:rPr>
          <w:sz w:val="20"/>
          <w:szCs w:val="20"/>
        </w:rPr>
      </w:pPr>
      <w:r w:rsidRPr="002F4E06">
        <w:rPr>
          <w:sz w:val="20"/>
          <w:szCs w:val="20"/>
        </w:rPr>
        <w:t xml:space="preserve">Overcoming these challenges necessitates multifaceted, evidence-based strategies tailored to contextual needs. First, fostering organizational buy-in through comprehensive awareness campaigns, executive training, and demonstration </w:t>
      </w:r>
    </w:p>
    <w:p w14:paraId="7D2BB0C9" w14:textId="77777777" w:rsidR="00C63986" w:rsidRDefault="00C63986" w:rsidP="00C81986">
      <w:pPr>
        <w:pStyle w:val="NormalWeb"/>
        <w:jc w:val="both"/>
        <w:rPr>
          <w:sz w:val="20"/>
          <w:szCs w:val="20"/>
        </w:rPr>
      </w:pPr>
    </w:p>
    <w:p w14:paraId="4BAAB2F4" w14:textId="7EF13811" w:rsidR="00C81986" w:rsidRPr="002F4E06" w:rsidRDefault="00C81986" w:rsidP="00C81986">
      <w:pPr>
        <w:pStyle w:val="NormalWeb"/>
        <w:jc w:val="both"/>
        <w:rPr>
          <w:sz w:val="20"/>
          <w:szCs w:val="20"/>
        </w:rPr>
      </w:pPr>
      <w:r w:rsidRPr="002F4E06">
        <w:rPr>
          <w:sz w:val="20"/>
          <w:szCs w:val="20"/>
        </w:rPr>
        <w:t>of return-on-investment (ROI) via pilot projects can shift cultural priorities [73]. Integrating ergonomics into broader health and safety management systems aligns it with regulatory requirements and business goals [74]. Second, adopting cost-effective approaches—such as low-tech administrative controls (job rotation, breaks), open-source tools, or phased rollouts—mitigates economic barriers while prioritizing high-risk areas [75]. Third, enhancing participation via structured PE frameworks, incentives (e.g., recognition programs), and inclusive facilitation (e.g., multilingual materials) improves engagement and solution relevance [76,77]. Finally, ensuring sustainability requires institutionalizing ongoing evaluation through key performance indicators, regular audits, digital monitoring tools, and adaptive governance to accommodate workplace evolution [78,79].</w:t>
      </w:r>
    </w:p>
    <w:p w14:paraId="6EA01CF2" w14:textId="77777777" w:rsidR="00C81986" w:rsidRPr="00C5273C" w:rsidRDefault="00C81986" w:rsidP="002F4E06">
      <w:pPr>
        <w:pStyle w:val="NormalWeb"/>
        <w:jc w:val="center"/>
        <w:rPr>
          <w:b/>
          <w:bCs/>
          <w:sz w:val="18"/>
          <w:szCs w:val="18"/>
          <w:rtl/>
        </w:rPr>
      </w:pPr>
      <w:r w:rsidRPr="00C5273C">
        <w:rPr>
          <w:rStyle w:val="Strong"/>
          <w:sz w:val="18"/>
          <w:szCs w:val="18"/>
        </w:rPr>
        <w:t>Table 3: Key Challenges in Ergonomic Intervention Implementation and Corresponding Solutions</w:t>
      </w:r>
    </w:p>
    <w:tbl>
      <w:tblPr>
        <w:tblW w:w="0" w:type="auto"/>
        <w:tblCellSpacing w:w="15" w:type="dxa"/>
        <w:tblBorders>
          <w:top w:val="single" w:sz="4" w:space="0" w:color="auto"/>
          <w:bottom w:val="single" w:sz="4" w:space="0" w:color="auto"/>
        </w:tblBorders>
        <w:tblCellMar>
          <w:top w:w="15" w:type="dxa"/>
          <w:left w:w="15" w:type="dxa"/>
          <w:bottom w:w="15" w:type="dxa"/>
          <w:right w:w="15" w:type="dxa"/>
        </w:tblCellMar>
        <w:tblLook w:val="04A0" w:firstRow="1" w:lastRow="0" w:firstColumn="1" w:lastColumn="0" w:noHBand="0" w:noVBand="1"/>
      </w:tblPr>
      <w:tblGrid>
        <w:gridCol w:w="2264"/>
        <w:gridCol w:w="2003"/>
        <w:gridCol w:w="1791"/>
        <w:gridCol w:w="2284"/>
        <w:gridCol w:w="1013"/>
      </w:tblGrid>
      <w:tr w:rsidR="00C81986" w:rsidRPr="003931A5" w14:paraId="0CC9A115" w14:textId="77777777" w:rsidTr="00165653">
        <w:trPr>
          <w:tblHeader/>
          <w:tblCellSpacing w:w="15" w:type="dxa"/>
        </w:trPr>
        <w:tc>
          <w:tcPr>
            <w:tcW w:w="0" w:type="auto"/>
            <w:vAlign w:val="center"/>
            <w:hideMark/>
          </w:tcPr>
          <w:p w14:paraId="0F8355BF" w14:textId="77777777" w:rsidR="00C81986" w:rsidRPr="00C5273C" w:rsidRDefault="00C81986" w:rsidP="007C31A6">
            <w:pPr>
              <w:jc w:val="center"/>
              <w:rPr>
                <w:rFonts w:cs="Times New Roman"/>
              </w:rPr>
            </w:pPr>
            <w:r w:rsidRPr="00C5273C">
              <w:rPr>
                <w:rFonts w:cs="Times New Roman"/>
              </w:rPr>
              <w:t>Challenge Category</w:t>
            </w:r>
          </w:p>
        </w:tc>
        <w:tc>
          <w:tcPr>
            <w:tcW w:w="0" w:type="auto"/>
            <w:vAlign w:val="center"/>
            <w:hideMark/>
          </w:tcPr>
          <w:p w14:paraId="3C7D2E2B" w14:textId="77777777" w:rsidR="00C81986" w:rsidRPr="00C5273C" w:rsidRDefault="00C81986" w:rsidP="007C31A6">
            <w:pPr>
              <w:jc w:val="center"/>
              <w:rPr>
                <w:rFonts w:cs="Times New Roman"/>
              </w:rPr>
            </w:pPr>
            <w:r w:rsidRPr="00C5273C">
              <w:rPr>
                <w:rFonts w:cs="Times New Roman"/>
              </w:rPr>
              <w:t>Detailed Description</w:t>
            </w:r>
          </w:p>
        </w:tc>
        <w:tc>
          <w:tcPr>
            <w:tcW w:w="0" w:type="auto"/>
            <w:vAlign w:val="center"/>
            <w:hideMark/>
          </w:tcPr>
          <w:p w14:paraId="296100CA" w14:textId="77777777" w:rsidR="00C81986" w:rsidRPr="00C5273C" w:rsidRDefault="00C81986" w:rsidP="007C31A6">
            <w:pPr>
              <w:jc w:val="center"/>
              <w:rPr>
                <w:rFonts w:cs="Times New Roman"/>
              </w:rPr>
            </w:pPr>
            <w:r w:rsidRPr="00C5273C">
              <w:rPr>
                <w:rFonts w:cs="Times New Roman"/>
              </w:rPr>
              <w:t>Primary Impacts</w:t>
            </w:r>
          </w:p>
        </w:tc>
        <w:tc>
          <w:tcPr>
            <w:tcW w:w="0" w:type="auto"/>
            <w:vAlign w:val="center"/>
            <w:hideMark/>
          </w:tcPr>
          <w:p w14:paraId="0967FEB5" w14:textId="77777777" w:rsidR="00C81986" w:rsidRPr="00C5273C" w:rsidRDefault="00C81986" w:rsidP="007C31A6">
            <w:pPr>
              <w:jc w:val="center"/>
              <w:rPr>
                <w:rFonts w:cs="Times New Roman"/>
              </w:rPr>
            </w:pPr>
            <w:r w:rsidRPr="00C5273C">
              <w:rPr>
                <w:rFonts w:cs="Times New Roman"/>
              </w:rPr>
              <w:t>Evidence-Based Solutions</w:t>
            </w:r>
          </w:p>
        </w:tc>
        <w:tc>
          <w:tcPr>
            <w:tcW w:w="0" w:type="auto"/>
            <w:vAlign w:val="center"/>
            <w:hideMark/>
          </w:tcPr>
          <w:p w14:paraId="75A31781" w14:textId="77777777" w:rsidR="00C81986" w:rsidRPr="00C5273C" w:rsidRDefault="00C81986" w:rsidP="007C31A6">
            <w:pPr>
              <w:jc w:val="center"/>
              <w:rPr>
                <w:rFonts w:cs="Times New Roman"/>
              </w:rPr>
            </w:pPr>
            <w:r w:rsidRPr="00C5273C">
              <w:rPr>
                <w:rFonts w:cs="Times New Roman"/>
              </w:rPr>
              <w:t>References</w:t>
            </w:r>
          </w:p>
        </w:tc>
      </w:tr>
      <w:tr w:rsidR="00C81986" w:rsidRPr="003931A5" w14:paraId="6F982DEB" w14:textId="77777777" w:rsidTr="00165653">
        <w:trPr>
          <w:tblCellSpacing w:w="15" w:type="dxa"/>
        </w:trPr>
        <w:tc>
          <w:tcPr>
            <w:tcW w:w="0" w:type="auto"/>
            <w:tcBorders>
              <w:top w:val="single" w:sz="4" w:space="0" w:color="auto"/>
            </w:tcBorders>
            <w:vAlign w:val="center"/>
            <w:hideMark/>
          </w:tcPr>
          <w:p w14:paraId="2E3567CA" w14:textId="77777777" w:rsidR="00C81986" w:rsidRPr="00C5273C" w:rsidRDefault="00C81986" w:rsidP="007C31A6">
            <w:pPr>
              <w:jc w:val="center"/>
              <w:rPr>
                <w:rFonts w:cs="Times New Roman"/>
              </w:rPr>
            </w:pPr>
            <w:r w:rsidRPr="00C5273C">
              <w:rPr>
                <w:rFonts w:cs="Times New Roman"/>
              </w:rPr>
              <w:t>Organizational/Cultural</w:t>
            </w:r>
          </w:p>
        </w:tc>
        <w:tc>
          <w:tcPr>
            <w:tcW w:w="0" w:type="auto"/>
            <w:tcBorders>
              <w:top w:val="single" w:sz="4" w:space="0" w:color="auto"/>
            </w:tcBorders>
            <w:vAlign w:val="center"/>
            <w:hideMark/>
          </w:tcPr>
          <w:p w14:paraId="51DB7CF5" w14:textId="77777777" w:rsidR="00C81986" w:rsidRPr="00C5273C" w:rsidRDefault="00C81986" w:rsidP="007C31A6">
            <w:pPr>
              <w:jc w:val="center"/>
              <w:rPr>
                <w:rFonts w:cs="Times New Roman"/>
              </w:rPr>
            </w:pPr>
            <w:r w:rsidRPr="00C5273C">
              <w:rPr>
                <w:rFonts w:cs="Times New Roman"/>
              </w:rPr>
              <w:t>Resistance to change; low prioritization; hierarchical barriers</w:t>
            </w:r>
          </w:p>
        </w:tc>
        <w:tc>
          <w:tcPr>
            <w:tcW w:w="0" w:type="auto"/>
            <w:tcBorders>
              <w:top w:val="single" w:sz="4" w:space="0" w:color="auto"/>
            </w:tcBorders>
            <w:vAlign w:val="center"/>
            <w:hideMark/>
          </w:tcPr>
          <w:p w14:paraId="6C55B544" w14:textId="77777777" w:rsidR="00C81986" w:rsidRPr="00C5273C" w:rsidRDefault="00C81986" w:rsidP="007C31A6">
            <w:pPr>
              <w:jc w:val="center"/>
              <w:rPr>
                <w:rFonts w:cs="Times New Roman"/>
              </w:rPr>
            </w:pPr>
            <w:r w:rsidRPr="00C5273C">
              <w:rPr>
                <w:rFonts w:cs="Times New Roman"/>
              </w:rPr>
              <w:t>Delayed adoption; inconsistent compliance; cultural inertia</w:t>
            </w:r>
          </w:p>
        </w:tc>
        <w:tc>
          <w:tcPr>
            <w:tcW w:w="0" w:type="auto"/>
            <w:tcBorders>
              <w:top w:val="single" w:sz="4" w:space="0" w:color="auto"/>
            </w:tcBorders>
            <w:vAlign w:val="center"/>
            <w:hideMark/>
          </w:tcPr>
          <w:p w14:paraId="2F17F1FB" w14:textId="77777777" w:rsidR="00C81986" w:rsidRPr="00C5273C" w:rsidRDefault="00C81986" w:rsidP="007C31A6">
            <w:pPr>
              <w:jc w:val="center"/>
              <w:rPr>
                <w:rFonts w:cs="Times New Roman"/>
              </w:rPr>
            </w:pPr>
            <w:r w:rsidRPr="00C5273C">
              <w:rPr>
                <w:rFonts w:cs="Times New Roman"/>
              </w:rPr>
              <w:t>Leadership training; awareness campaigns; integration into safety culture</w:t>
            </w:r>
          </w:p>
        </w:tc>
        <w:tc>
          <w:tcPr>
            <w:tcW w:w="0" w:type="auto"/>
            <w:tcBorders>
              <w:top w:val="single" w:sz="4" w:space="0" w:color="auto"/>
            </w:tcBorders>
            <w:vAlign w:val="center"/>
            <w:hideMark/>
          </w:tcPr>
          <w:p w14:paraId="44AB02D3" w14:textId="77777777" w:rsidR="00C81986" w:rsidRPr="00C5273C" w:rsidRDefault="00C81986" w:rsidP="007C31A6">
            <w:pPr>
              <w:jc w:val="center"/>
              <w:rPr>
                <w:rFonts w:cs="Times New Roman"/>
              </w:rPr>
            </w:pPr>
            <w:r w:rsidRPr="00C5273C">
              <w:rPr>
                <w:rFonts w:cs="Times New Roman"/>
              </w:rPr>
              <w:t>[56–60]</w:t>
            </w:r>
          </w:p>
        </w:tc>
      </w:tr>
      <w:tr w:rsidR="00C81986" w:rsidRPr="003931A5" w14:paraId="10DB6480" w14:textId="77777777" w:rsidTr="00C5273C">
        <w:trPr>
          <w:tblCellSpacing w:w="15" w:type="dxa"/>
        </w:trPr>
        <w:tc>
          <w:tcPr>
            <w:tcW w:w="0" w:type="auto"/>
            <w:vAlign w:val="center"/>
            <w:hideMark/>
          </w:tcPr>
          <w:p w14:paraId="3C268556" w14:textId="77777777" w:rsidR="00C81986" w:rsidRPr="00C5273C" w:rsidRDefault="00C81986" w:rsidP="007C31A6">
            <w:pPr>
              <w:jc w:val="center"/>
              <w:rPr>
                <w:rFonts w:cs="Times New Roman"/>
              </w:rPr>
            </w:pPr>
            <w:r w:rsidRPr="00C5273C">
              <w:rPr>
                <w:rFonts w:cs="Times New Roman"/>
              </w:rPr>
              <w:lastRenderedPageBreak/>
              <w:t>Economic/Resources</w:t>
            </w:r>
          </w:p>
        </w:tc>
        <w:tc>
          <w:tcPr>
            <w:tcW w:w="0" w:type="auto"/>
            <w:vAlign w:val="center"/>
            <w:hideMark/>
          </w:tcPr>
          <w:p w14:paraId="2CD5FC8D" w14:textId="77777777" w:rsidR="00C81986" w:rsidRPr="00C5273C" w:rsidRDefault="00C81986" w:rsidP="007C31A6">
            <w:pPr>
              <w:jc w:val="center"/>
              <w:rPr>
                <w:rFonts w:cs="Times New Roman"/>
              </w:rPr>
            </w:pPr>
            <w:r w:rsidRPr="00C5273C">
              <w:rPr>
                <w:rFonts w:cs="Times New Roman"/>
              </w:rPr>
              <w:t>High upfront costs; competing priorities; limited budgets in SMEs</w:t>
            </w:r>
          </w:p>
        </w:tc>
        <w:tc>
          <w:tcPr>
            <w:tcW w:w="0" w:type="auto"/>
            <w:vAlign w:val="center"/>
            <w:hideMark/>
          </w:tcPr>
          <w:p w14:paraId="28466B91" w14:textId="77777777" w:rsidR="00C81986" w:rsidRPr="00C5273C" w:rsidRDefault="00C81986" w:rsidP="007C31A6">
            <w:pPr>
              <w:jc w:val="center"/>
              <w:rPr>
                <w:rFonts w:cs="Times New Roman"/>
              </w:rPr>
            </w:pPr>
            <w:r w:rsidRPr="00C5273C">
              <w:rPr>
                <w:rFonts w:cs="Times New Roman"/>
              </w:rPr>
              <w:t>Restricted scalability; exclusion of smaller firms</w:t>
            </w:r>
          </w:p>
        </w:tc>
        <w:tc>
          <w:tcPr>
            <w:tcW w:w="0" w:type="auto"/>
            <w:vAlign w:val="center"/>
            <w:hideMark/>
          </w:tcPr>
          <w:p w14:paraId="309951F3" w14:textId="77777777" w:rsidR="00C81986" w:rsidRPr="00C5273C" w:rsidRDefault="00C81986" w:rsidP="007C31A6">
            <w:pPr>
              <w:jc w:val="center"/>
              <w:rPr>
                <w:rFonts w:cs="Times New Roman"/>
              </w:rPr>
            </w:pPr>
            <w:r w:rsidRPr="00C5273C">
              <w:rPr>
                <w:rFonts w:cs="Times New Roman"/>
              </w:rPr>
              <w:t>Phased implementation; low-cost alternatives; ROI demonstrations</w:t>
            </w:r>
          </w:p>
        </w:tc>
        <w:tc>
          <w:tcPr>
            <w:tcW w:w="0" w:type="auto"/>
            <w:vAlign w:val="center"/>
            <w:hideMark/>
          </w:tcPr>
          <w:p w14:paraId="04E99A91" w14:textId="77777777" w:rsidR="00C81986" w:rsidRPr="00C5273C" w:rsidRDefault="00C81986" w:rsidP="007C31A6">
            <w:pPr>
              <w:jc w:val="center"/>
              <w:rPr>
                <w:rFonts w:cs="Times New Roman"/>
              </w:rPr>
            </w:pPr>
            <w:r w:rsidRPr="00C5273C">
              <w:rPr>
                <w:rFonts w:cs="Times New Roman"/>
              </w:rPr>
              <w:t>[61–65]</w:t>
            </w:r>
          </w:p>
        </w:tc>
      </w:tr>
      <w:tr w:rsidR="00C81986" w:rsidRPr="003931A5" w14:paraId="7A55A502" w14:textId="77777777" w:rsidTr="00C5273C">
        <w:trPr>
          <w:tblCellSpacing w:w="15" w:type="dxa"/>
        </w:trPr>
        <w:tc>
          <w:tcPr>
            <w:tcW w:w="0" w:type="auto"/>
            <w:vAlign w:val="center"/>
            <w:hideMark/>
          </w:tcPr>
          <w:p w14:paraId="4BAB4257" w14:textId="77777777" w:rsidR="00C81986" w:rsidRPr="00C5273C" w:rsidRDefault="00C81986" w:rsidP="007C31A6">
            <w:pPr>
              <w:jc w:val="center"/>
              <w:rPr>
                <w:rFonts w:cs="Times New Roman"/>
              </w:rPr>
            </w:pPr>
            <w:r w:rsidRPr="00C5273C">
              <w:rPr>
                <w:rFonts w:cs="Times New Roman"/>
              </w:rPr>
              <w:t>Worker Participation</w:t>
            </w:r>
          </w:p>
        </w:tc>
        <w:tc>
          <w:tcPr>
            <w:tcW w:w="0" w:type="auto"/>
            <w:vAlign w:val="center"/>
            <w:hideMark/>
          </w:tcPr>
          <w:p w14:paraId="041CD428" w14:textId="77777777" w:rsidR="00C81986" w:rsidRPr="00C5273C" w:rsidRDefault="00C81986" w:rsidP="007C31A6">
            <w:pPr>
              <w:jc w:val="center"/>
              <w:rPr>
                <w:rFonts w:cs="Times New Roman"/>
              </w:rPr>
            </w:pPr>
            <w:r w:rsidRPr="00C5273C">
              <w:rPr>
                <w:rFonts w:cs="Times New Roman"/>
              </w:rPr>
              <w:t>Time constraints; low engagement; diversity barriers</w:t>
            </w:r>
          </w:p>
        </w:tc>
        <w:tc>
          <w:tcPr>
            <w:tcW w:w="0" w:type="auto"/>
            <w:vAlign w:val="center"/>
            <w:hideMark/>
          </w:tcPr>
          <w:p w14:paraId="6103C01F" w14:textId="77777777" w:rsidR="00C81986" w:rsidRPr="00C5273C" w:rsidRDefault="00C81986" w:rsidP="007C31A6">
            <w:pPr>
              <w:jc w:val="center"/>
              <w:rPr>
                <w:rFonts w:cs="Times New Roman"/>
              </w:rPr>
            </w:pPr>
            <w:r w:rsidRPr="00C5273C">
              <w:rPr>
                <w:rFonts w:cs="Times New Roman"/>
              </w:rPr>
              <w:t>Poorly tailored solutions; resistance; limited innovation</w:t>
            </w:r>
          </w:p>
        </w:tc>
        <w:tc>
          <w:tcPr>
            <w:tcW w:w="0" w:type="auto"/>
            <w:vAlign w:val="center"/>
            <w:hideMark/>
          </w:tcPr>
          <w:p w14:paraId="67EE4AF0" w14:textId="77777777" w:rsidR="00C81986" w:rsidRPr="00C5273C" w:rsidRDefault="00C81986" w:rsidP="007C31A6">
            <w:pPr>
              <w:jc w:val="center"/>
              <w:rPr>
                <w:rFonts w:cs="Times New Roman"/>
              </w:rPr>
            </w:pPr>
            <w:r w:rsidRPr="00C5273C">
              <w:rPr>
                <w:rFonts w:cs="Times New Roman"/>
              </w:rPr>
              <w:t>Structured PE; incentives; inclusive facilitation</w:t>
            </w:r>
          </w:p>
        </w:tc>
        <w:tc>
          <w:tcPr>
            <w:tcW w:w="0" w:type="auto"/>
            <w:vAlign w:val="center"/>
            <w:hideMark/>
          </w:tcPr>
          <w:p w14:paraId="3BBDC5AF" w14:textId="77777777" w:rsidR="00C81986" w:rsidRPr="00C5273C" w:rsidRDefault="00C81986" w:rsidP="007C31A6">
            <w:pPr>
              <w:jc w:val="center"/>
              <w:rPr>
                <w:rFonts w:cs="Times New Roman"/>
              </w:rPr>
            </w:pPr>
            <w:r w:rsidRPr="00C5273C">
              <w:rPr>
                <w:rFonts w:cs="Times New Roman"/>
              </w:rPr>
              <w:t>[66–69]</w:t>
            </w:r>
          </w:p>
        </w:tc>
      </w:tr>
      <w:tr w:rsidR="00C81986" w:rsidRPr="003931A5" w14:paraId="7CBFE691" w14:textId="77777777" w:rsidTr="00165653">
        <w:trPr>
          <w:tblCellSpacing w:w="15" w:type="dxa"/>
        </w:trPr>
        <w:tc>
          <w:tcPr>
            <w:tcW w:w="0" w:type="auto"/>
            <w:vAlign w:val="center"/>
            <w:hideMark/>
          </w:tcPr>
          <w:p w14:paraId="42A84725" w14:textId="77777777" w:rsidR="00C81986" w:rsidRPr="00C5273C" w:rsidRDefault="00C81986" w:rsidP="007C31A6">
            <w:pPr>
              <w:jc w:val="center"/>
              <w:rPr>
                <w:rFonts w:cs="Times New Roman"/>
              </w:rPr>
            </w:pPr>
            <w:r w:rsidRPr="00C5273C">
              <w:rPr>
                <w:rFonts w:cs="Times New Roman"/>
              </w:rPr>
              <w:t>Sustainability/Maintenance</w:t>
            </w:r>
          </w:p>
        </w:tc>
        <w:tc>
          <w:tcPr>
            <w:tcW w:w="0" w:type="auto"/>
            <w:vAlign w:val="center"/>
            <w:hideMark/>
          </w:tcPr>
          <w:p w14:paraId="4CBE3560" w14:textId="77777777" w:rsidR="00C81986" w:rsidRPr="00C5273C" w:rsidRDefault="00C81986" w:rsidP="007C31A6">
            <w:pPr>
              <w:jc w:val="center"/>
              <w:rPr>
                <w:rFonts w:cs="Times New Roman"/>
              </w:rPr>
            </w:pPr>
            <w:r w:rsidRPr="00C5273C">
              <w:rPr>
                <w:rFonts w:cs="Times New Roman"/>
              </w:rPr>
              <w:t>Lack of monitoring; turnover; evolving risks</w:t>
            </w:r>
          </w:p>
        </w:tc>
        <w:tc>
          <w:tcPr>
            <w:tcW w:w="0" w:type="auto"/>
            <w:vAlign w:val="center"/>
            <w:hideMark/>
          </w:tcPr>
          <w:p w14:paraId="38128309" w14:textId="77777777" w:rsidR="00C81986" w:rsidRPr="00C5273C" w:rsidRDefault="00C81986" w:rsidP="007C31A6">
            <w:pPr>
              <w:jc w:val="center"/>
              <w:rPr>
                <w:rFonts w:cs="Times New Roman"/>
              </w:rPr>
            </w:pPr>
            <w:r w:rsidRPr="00C5273C">
              <w:rPr>
                <w:rFonts w:cs="Times New Roman"/>
              </w:rPr>
              <w:t>Erosion of benefits; short-term gains only</w:t>
            </w:r>
          </w:p>
        </w:tc>
        <w:tc>
          <w:tcPr>
            <w:tcW w:w="0" w:type="auto"/>
            <w:vAlign w:val="center"/>
            <w:hideMark/>
          </w:tcPr>
          <w:p w14:paraId="3939BDF9" w14:textId="77777777" w:rsidR="00C81986" w:rsidRPr="00C5273C" w:rsidRDefault="00C81986" w:rsidP="007C31A6">
            <w:pPr>
              <w:jc w:val="center"/>
              <w:rPr>
                <w:rFonts w:cs="Times New Roman"/>
              </w:rPr>
            </w:pPr>
            <w:r w:rsidRPr="00C5273C">
              <w:rPr>
                <w:rFonts w:cs="Times New Roman"/>
              </w:rPr>
              <w:t>Ongoing audits; digital tools; adaptive frameworks</w:t>
            </w:r>
          </w:p>
        </w:tc>
        <w:tc>
          <w:tcPr>
            <w:tcW w:w="0" w:type="auto"/>
            <w:vAlign w:val="center"/>
            <w:hideMark/>
          </w:tcPr>
          <w:p w14:paraId="7739BACB" w14:textId="77777777" w:rsidR="00C81986" w:rsidRPr="00C5273C" w:rsidRDefault="00C81986" w:rsidP="007C31A6">
            <w:pPr>
              <w:jc w:val="center"/>
              <w:rPr>
                <w:rFonts w:cs="Times New Roman"/>
              </w:rPr>
            </w:pPr>
            <w:r w:rsidRPr="00C5273C">
              <w:rPr>
                <w:rFonts w:cs="Times New Roman"/>
              </w:rPr>
              <w:t>[70–72,78,79]</w:t>
            </w:r>
          </w:p>
        </w:tc>
      </w:tr>
    </w:tbl>
    <w:p w14:paraId="4D812D93" w14:textId="77777777" w:rsidR="002F4E06" w:rsidRDefault="002F4E06" w:rsidP="002F4E06">
      <w:pPr>
        <w:pStyle w:val="Heading4"/>
        <w:bidi w:val="0"/>
        <w:rPr>
          <w:rFonts w:cs="Times New Roman"/>
          <w:kern w:val="36"/>
          <w:rtl/>
        </w:rPr>
      </w:pPr>
    </w:p>
    <w:p w14:paraId="68FD4D5F" w14:textId="16015E09" w:rsidR="00C81986" w:rsidRPr="002F4E06" w:rsidRDefault="00C81986" w:rsidP="002F4E06">
      <w:pPr>
        <w:pStyle w:val="Heading4"/>
        <w:bidi w:val="0"/>
        <w:rPr>
          <w:rFonts w:cs="Times New Roman"/>
          <w:b w:val="0"/>
          <w:bCs w:val="0"/>
          <w:i/>
          <w:iCs/>
          <w:kern w:val="36"/>
          <w:sz w:val="22"/>
          <w:szCs w:val="22"/>
        </w:rPr>
      </w:pPr>
      <w:r w:rsidRPr="002F4E06">
        <w:rPr>
          <w:rFonts w:cs="Times New Roman"/>
          <w:kern w:val="36"/>
          <w:sz w:val="22"/>
          <w:szCs w:val="22"/>
        </w:rPr>
        <w:t>5. Conclusion and Future Directions</w:t>
      </w:r>
    </w:p>
    <w:p w14:paraId="15ABA60E" w14:textId="2C4B0EBD" w:rsidR="00C81986" w:rsidRDefault="00C81986" w:rsidP="00180E38">
      <w:pPr>
        <w:pStyle w:val="NormalWeb"/>
        <w:jc w:val="both"/>
        <w:rPr>
          <w:sz w:val="20"/>
          <w:szCs w:val="20"/>
        </w:rPr>
      </w:pPr>
      <w:r w:rsidRPr="002F4E06">
        <w:rPr>
          <w:sz w:val="20"/>
          <w:szCs w:val="20"/>
        </w:rPr>
        <w:t>This comprehensive review has illuminated the complex interplay of ergonomic factors—biomechanical, environmental, psychosocial, cognitive, and their combined effects—in the etiology and persistence of work-related musculoskeletal disorders (WMSDs), which remain a leading global occupational health burden [59,60]. Evidence consistently demonstrates that physical overload forms the primary pathway, yet psychosocial stress, environmental stressors, and emerging cognitive demands significantly amplify risks through synergistic mechanisms, resulting in heightened pain perception, multisite disorders, and prolonged disability [61,62]. Integrated ergonomic interventions, especially participatory approaches that empower workers in risk identification and solution development, offer the most robust reductions in WMSD incidence, exposure levels, and associated absenteeism, with sustained benefits when tailored to specific occupational contexts [63,64].</w:t>
      </w:r>
      <w:r w:rsidRPr="002F4E06">
        <w:rPr>
          <w:rFonts w:hint="cs"/>
          <w:sz w:val="20"/>
          <w:szCs w:val="20"/>
          <w:rtl/>
        </w:rPr>
        <w:t xml:space="preserve"> </w:t>
      </w:r>
      <w:r w:rsidRPr="002F4E06">
        <w:rPr>
          <w:sz w:val="20"/>
          <w:szCs w:val="20"/>
        </w:rPr>
        <w:t>However, the translation of evidence into practice is hampered by persistent implementation challenges, including organizational resistance, economic constraints in resource-limited settings, insufficient worker engagement, and difficulties in maintaining long-term fidelity amid evolving work systems [65,66]. Overcoming these barriers demands strategic solutions such as leadership-driven cultural shifts, cost-effective prioritization, inclusive participatory frameworks, and continuous monitoring supported by digital tools [67,68].</w:t>
      </w:r>
      <w:r w:rsidRPr="002F4E06">
        <w:rPr>
          <w:rFonts w:hint="cs"/>
          <w:sz w:val="20"/>
          <w:szCs w:val="20"/>
          <w:rtl/>
        </w:rPr>
        <w:t xml:space="preserve"> </w:t>
      </w:r>
      <w:r w:rsidRPr="002F4E06">
        <w:rPr>
          <w:sz w:val="20"/>
          <w:szCs w:val="20"/>
        </w:rPr>
        <w:t>Looking forward, the field of ergonomics must evolve to address contemporary and emerging challenges. Priority research directions include longitudinal studies examining multifactorial exposures in digitalized, hybrid, and remote work environments, where prolonged sedentary postures and cognitive demands intersect with reduced socialsupport [69,70]. The integration of advanced technologies—such as artificial intelligence for real-time posture monitoring, computer vision for automated risk assessment, and virtual/augmented reality for ergonomic training</w:t>
      </w:r>
      <w:r w:rsidR="00180E38">
        <w:rPr>
          <w:sz w:val="20"/>
          <w:szCs w:val="20"/>
        </w:rPr>
        <w:t>-</w:t>
      </w:r>
      <w:r w:rsidRPr="002F4E06">
        <w:rPr>
          <w:sz w:val="20"/>
          <w:szCs w:val="20"/>
        </w:rPr>
        <w:t>presents transformative opportunities for proactive, personalized interventions [71,72]. Additionally, interdisciplinary approaches incorporating climate-related stressors (e.g., heat in outdoor work), aging workforce demographics, and equity considerations (e.g., gender and socioeconomic disparities) are essential for inclusive sustainability [73,74]. Standardization of exposure metrics, outcome measures, and evaluation protocols will facilitate cross-study comparisons and evidence-based policy development [75].</w:t>
      </w:r>
      <w:r w:rsidRPr="002F4E06">
        <w:rPr>
          <w:rFonts w:hint="cs"/>
          <w:sz w:val="20"/>
          <w:szCs w:val="20"/>
          <w:rtl/>
        </w:rPr>
        <w:t xml:space="preserve"> </w:t>
      </w:r>
      <w:r w:rsidRPr="002F4E06">
        <w:rPr>
          <w:sz w:val="20"/>
          <w:szCs w:val="20"/>
        </w:rPr>
        <w:t>In conclusion, proactive, worker-centered, and technology-augmented ergonomics is indispensable for mitigating WMSD burdens, enhancing psychological well-being, and fostering resilient, productive workplaces in an era of rapid sociotechnical and environmental change. By bridging current gaps through rigorous, interdisciplinary research and committed implementation, organizations and policymakers can realize substantial health, economic, and societal benefits [76,77]</w:t>
      </w:r>
    </w:p>
    <w:p w14:paraId="2F19EAD2" w14:textId="77777777" w:rsidR="00180E38" w:rsidRPr="00180E38" w:rsidRDefault="00180E38" w:rsidP="00180E38">
      <w:pPr>
        <w:pStyle w:val="NormalWeb"/>
        <w:jc w:val="both"/>
        <w:rPr>
          <w:sz w:val="20"/>
          <w:szCs w:val="20"/>
        </w:rPr>
      </w:pPr>
    </w:p>
    <w:p w14:paraId="750E1FBB" w14:textId="77777777" w:rsidR="00C81986" w:rsidRDefault="00C81986" w:rsidP="002F4E06">
      <w:pPr>
        <w:pStyle w:val="Heading3"/>
        <w:jc w:val="right"/>
        <w:rPr>
          <w:rStyle w:val="Strong"/>
          <w:rFonts w:asciiTheme="majorBidi" w:hAnsiTheme="majorBidi"/>
          <w:b/>
          <w:bCs/>
          <w:sz w:val="22"/>
          <w:szCs w:val="22"/>
          <w:rtl/>
        </w:rPr>
      </w:pPr>
      <w:r w:rsidRPr="002F4E06">
        <w:rPr>
          <w:rStyle w:val="Strong"/>
          <w:rFonts w:asciiTheme="majorBidi" w:hAnsiTheme="majorBidi"/>
          <w:b/>
          <w:bCs/>
          <w:sz w:val="22"/>
          <w:szCs w:val="22"/>
        </w:rPr>
        <w:t>References</w:t>
      </w:r>
    </w:p>
    <w:p w14:paraId="115A3512" w14:textId="77777777" w:rsidR="002F4E06" w:rsidRPr="002F4E06" w:rsidRDefault="002F4E06" w:rsidP="002F4E0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
        <w:gridCol w:w="8395"/>
      </w:tblGrid>
      <w:tr w:rsidR="00ED3918" w:rsidRPr="00ED3918" w14:paraId="0AF952A6" w14:textId="77777777" w:rsidTr="00ED3918">
        <w:trPr>
          <w:trHeight w:val="520"/>
        </w:trPr>
        <w:tc>
          <w:tcPr>
            <w:tcW w:w="960" w:type="dxa"/>
            <w:noWrap/>
            <w:hideMark/>
          </w:tcPr>
          <w:p w14:paraId="00A6E71D" w14:textId="77777777" w:rsidR="00ED3918" w:rsidRPr="00ED3918" w:rsidRDefault="00ED3918" w:rsidP="00ED3918">
            <w:r w:rsidRPr="00ED3918">
              <w:t>[1]</w:t>
            </w:r>
          </w:p>
        </w:tc>
        <w:bookmarkStart w:id="0" w:name="RANGE!B1"/>
        <w:tc>
          <w:tcPr>
            <w:tcW w:w="13640" w:type="dxa"/>
            <w:hideMark/>
          </w:tcPr>
          <w:p w14:paraId="1DFCEC13" w14:textId="77777777" w:rsidR="00ED3918" w:rsidRPr="00ED3918" w:rsidRDefault="00ED3918" w:rsidP="00ED3918">
            <w:r w:rsidRPr="00ED3918">
              <w:fldChar w:fldCharType="begin"/>
            </w:r>
            <w:r w:rsidRPr="00ED3918">
              <w:instrText>HYPERLINK "https://doi.org/10.1038/s41598-025-30155-6?referrer=grok.com" \t "_blank"</w:instrText>
            </w:r>
            <w:r w:rsidRPr="00ED3918">
              <w:fldChar w:fldCharType="separate"/>
            </w:r>
            <w:r w:rsidRPr="00D131B4">
              <w:t xml:space="preserve">Alzahrani, A., et al. (2025). Prevalence, ergonomic risk factors, and their interrelationships in work-related musculoskeletal disorders among office workers. Scientific Reports, 15, Article 30155. https://doi.org/10.1038/s41598-025-30155-6 </w:t>
            </w:r>
            <w:r w:rsidRPr="00ED3918">
              <w:fldChar w:fldCharType="end"/>
            </w:r>
            <w:bookmarkEnd w:id="0"/>
          </w:p>
        </w:tc>
      </w:tr>
      <w:tr w:rsidR="00ED3918" w:rsidRPr="00ED3918" w14:paraId="6499D77D" w14:textId="77777777" w:rsidTr="00ED3918">
        <w:trPr>
          <w:trHeight w:val="290"/>
        </w:trPr>
        <w:tc>
          <w:tcPr>
            <w:tcW w:w="960" w:type="dxa"/>
            <w:noWrap/>
            <w:hideMark/>
          </w:tcPr>
          <w:p w14:paraId="19E45CB2" w14:textId="77777777" w:rsidR="00ED3918" w:rsidRPr="00ED3918" w:rsidRDefault="00ED3918" w:rsidP="00ED3918">
            <w:bookmarkStart w:id="1" w:name="_Hlk217281998" w:colFirst="1" w:colLast="1"/>
            <w:r w:rsidRPr="00ED3918">
              <w:t>[2]</w:t>
            </w:r>
          </w:p>
        </w:tc>
        <w:tc>
          <w:tcPr>
            <w:tcW w:w="13640" w:type="dxa"/>
            <w:hideMark/>
          </w:tcPr>
          <w:p w14:paraId="68C4E533" w14:textId="77777777" w:rsidR="00ED3918" w:rsidRPr="00ED3918" w:rsidRDefault="00ED3918" w:rsidP="00ED3918">
            <w:r w:rsidRPr="00ED3918">
              <w:t xml:space="preserve">Andersen, L. L., et al. (2024). Physical activity as prevention for musculoskeletal disorders. </w:t>
            </w:r>
            <w:r w:rsidRPr="00D131B4">
              <w:t>Workplace Health &amp; Safety</w:t>
            </w:r>
            <w:r w:rsidRPr="00ED3918">
              <w:t xml:space="preserve">. </w:t>
            </w:r>
          </w:p>
        </w:tc>
      </w:tr>
      <w:tr w:rsidR="00ED3918" w:rsidRPr="00ED3918" w14:paraId="2DEE120A" w14:textId="77777777" w:rsidTr="00ED3918">
        <w:trPr>
          <w:trHeight w:val="290"/>
        </w:trPr>
        <w:tc>
          <w:tcPr>
            <w:tcW w:w="960" w:type="dxa"/>
            <w:noWrap/>
            <w:hideMark/>
          </w:tcPr>
          <w:p w14:paraId="7CECC59A" w14:textId="77777777" w:rsidR="00ED3918" w:rsidRPr="00ED3918" w:rsidRDefault="00ED3918" w:rsidP="00ED3918">
            <w:r w:rsidRPr="00ED3918">
              <w:t>[3]</w:t>
            </w:r>
          </w:p>
        </w:tc>
        <w:tc>
          <w:tcPr>
            <w:tcW w:w="13640" w:type="dxa"/>
            <w:hideMark/>
          </w:tcPr>
          <w:p w14:paraId="22659411" w14:textId="77777777" w:rsidR="00ED3918" w:rsidRPr="00ED3918" w:rsidRDefault="00ED3918" w:rsidP="00ED3918">
            <w:r w:rsidRPr="00ED3918">
              <w:t xml:space="preserve">Ariëns, G. A. M., et al. (2024). Environmental factors and musculoskeletal disorders: Systematic review. </w:t>
            </w:r>
            <w:r w:rsidRPr="00D131B4">
              <w:t>American Journal of Industrial Medicine</w:t>
            </w:r>
            <w:r w:rsidRPr="00ED3918">
              <w:t xml:space="preserve">. </w:t>
            </w:r>
          </w:p>
        </w:tc>
      </w:tr>
      <w:tr w:rsidR="00ED3918" w:rsidRPr="00ED3918" w14:paraId="7E8EECCA" w14:textId="77777777" w:rsidTr="00ED3918">
        <w:trPr>
          <w:trHeight w:val="520"/>
        </w:trPr>
        <w:tc>
          <w:tcPr>
            <w:tcW w:w="960" w:type="dxa"/>
            <w:noWrap/>
            <w:hideMark/>
          </w:tcPr>
          <w:p w14:paraId="2136D683" w14:textId="77777777" w:rsidR="00ED3918" w:rsidRPr="00ED3918" w:rsidRDefault="00ED3918" w:rsidP="00ED3918">
            <w:r w:rsidRPr="00ED3918">
              <w:t>[4]</w:t>
            </w:r>
          </w:p>
        </w:tc>
        <w:tc>
          <w:tcPr>
            <w:tcW w:w="13640" w:type="dxa"/>
            <w:hideMark/>
          </w:tcPr>
          <w:p w14:paraId="4FD02100" w14:textId="77777777" w:rsidR="00ED3918" w:rsidRPr="00ED3918" w:rsidRDefault="00ED3918" w:rsidP="00ED3918">
            <w:r w:rsidRPr="00ED3918">
              <w:t xml:space="preserve">Bernard, B. P., &amp; Fine, L. J. (2023). Musculoskeletal disorders and workplace factors (updated review). National Institute for Occupational Safety and Health (NIOSH). </w:t>
            </w:r>
          </w:p>
        </w:tc>
      </w:tr>
      <w:tr w:rsidR="00ED3918" w:rsidRPr="00ED3918" w14:paraId="545F1114" w14:textId="77777777" w:rsidTr="00ED3918">
        <w:trPr>
          <w:trHeight w:val="290"/>
        </w:trPr>
        <w:tc>
          <w:tcPr>
            <w:tcW w:w="960" w:type="dxa"/>
            <w:noWrap/>
            <w:hideMark/>
          </w:tcPr>
          <w:p w14:paraId="4C1F01E2" w14:textId="77777777" w:rsidR="00ED3918" w:rsidRPr="00ED3918" w:rsidRDefault="00ED3918" w:rsidP="00ED3918">
            <w:r w:rsidRPr="00ED3918">
              <w:t>[5]</w:t>
            </w:r>
          </w:p>
        </w:tc>
        <w:tc>
          <w:tcPr>
            <w:tcW w:w="13640" w:type="dxa"/>
            <w:hideMark/>
          </w:tcPr>
          <w:p w14:paraId="5C9828B8" w14:textId="77777777" w:rsidR="00ED3918" w:rsidRPr="00ED3918" w:rsidRDefault="00ED3918" w:rsidP="00ED3918">
            <w:r w:rsidRPr="00ED3918">
              <w:t xml:space="preserve">Boisadan, A., &amp; Buisine, S. (2025). Prospective ergonomics in the Anthropocene era. </w:t>
            </w:r>
            <w:r w:rsidRPr="00D131B4">
              <w:t>Theoretical Issues in Ergonomics Science</w:t>
            </w:r>
            <w:r w:rsidRPr="00ED3918">
              <w:t xml:space="preserve">. </w:t>
            </w:r>
          </w:p>
        </w:tc>
      </w:tr>
      <w:tr w:rsidR="00ED3918" w:rsidRPr="00ED3918" w14:paraId="6D6877DD" w14:textId="77777777" w:rsidTr="00ED3918">
        <w:trPr>
          <w:trHeight w:val="520"/>
        </w:trPr>
        <w:tc>
          <w:tcPr>
            <w:tcW w:w="960" w:type="dxa"/>
            <w:noWrap/>
            <w:hideMark/>
          </w:tcPr>
          <w:p w14:paraId="5E1F1E3B" w14:textId="77777777" w:rsidR="00ED3918" w:rsidRPr="00ED3918" w:rsidRDefault="00ED3918" w:rsidP="00ED3918">
            <w:r w:rsidRPr="00ED3918">
              <w:lastRenderedPageBreak/>
              <w:t>[6]</w:t>
            </w:r>
          </w:p>
        </w:tc>
        <w:tc>
          <w:tcPr>
            <w:tcW w:w="13640" w:type="dxa"/>
            <w:hideMark/>
          </w:tcPr>
          <w:p w14:paraId="6AD7A1D6" w14:textId="77777777" w:rsidR="00ED3918" w:rsidRPr="00ED3918" w:rsidRDefault="00ED3918" w:rsidP="00ED3918">
            <w:r w:rsidRPr="00ED3918">
              <w:t xml:space="preserve">Bongers, P. M., et al. (2024). Psychosocial factors at work and musculoskeletal disease: Updated evidence. </w:t>
            </w:r>
            <w:r w:rsidRPr="00D131B4">
              <w:t>Scandinavian Journal of Work, Environment &amp; Health</w:t>
            </w:r>
            <w:r w:rsidRPr="00ED3918">
              <w:t xml:space="preserve">. </w:t>
            </w:r>
          </w:p>
        </w:tc>
      </w:tr>
      <w:tr w:rsidR="00ED3918" w:rsidRPr="00ED3918" w14:paraId="48D3E1A3" w14:textId="77777777" w:rsidTr="00ED3918">
        <w:trPr>
          <w:trHeight w:val="290"/>
        </w:trPr>
        <w:tc>
          <w:tcPr>
            <w:tcW w:w="960" w:type="dxa"/>
            <w:noWrap/>
            <w:hideMark/>
          </w:tcPr>
          <w:p w14:paraId="5BCB537E" w14:textId="77777777" w:rsidR="00ED3918" w:rsidRPr="00ED3918" w:rsidRDefault="00ED3918" w:rsidP="00ED3918">
            <w:r w:rsidRPr="00ED3918">
              <w:t>[7]</w:t>
            </w:r>
          </w:p>
        </w:tc>
        <w:tc>
          <w:tcPr>
            <w:tcW w:w="13640" w:type="dxa"/>
            <w:hideMark/>
          </w:tcPr>
          <w:p w14:paraId="224EEC81" w14:textId="77777777" w:rsidR="00ED3918" w:rsidRPr="00ED3918" w:rsidRDefault="00ED3918" w:rsidP="00ED3918">
            <w:hyperlink r:id="rId8" w:tgtFrame="_blank" w:history="1">
              <w:r w:rsidRPr="00D131B4">
                <w:t xml:space="preserve">Briotix Health. (2024). Top 5 ergonomic trends to watch in 2025. https://news.briotix.com/top-5-ergonomic-trends-to-watch-in-2025 </w:t>
              </w:r>
            </w:hyperlink>
          </w:p>
        </w:tc>
      </w:tr>
      <w:tr w:rsidR="00ED3918" w:rsidRPr="00ED3918" w14:paraId="24F78895" w14:textId="77777777" w:rsidTr="00ED3918">
        <w:trPr>
          <w:trHeight w:val="520"/>
        </w:trPr>
        <w:tc>
          <w:tcPr>
            <w:tcW w:w="960" w:type="dxa"/>
            <w:noWrap/>
            <w:hideMark/>
          </w:tcPr>
          <w:p w14:paraId="0383FCB7" w14:textId="77777777" w:rsidR="00ED3918" w:rsidRPr="00ED3918" w:rsidRDefault="00ED3918" w:rsidP="00ED3918">
            <w:r w:rsidRPr="00ED3918">
              <w:t>[8]</w:t>
            </w:r>
          </w:p>
        </w:tc>
        <w:tc>
          <w:tcPr>
            <w:tcW w:w="13640" w:type="dxa"/>
            <w:hideMark/>
          </w:tcPr>
          <w:p w14:paraId="7982AB6E" w14:textId="77777777" w:rsidR="00ED3918" w:rsidRPr="00ED3918" w:rsidRDefault="00ED3918" w:rsidP="00ED3918">
            <w:hyperlink r:id="rId9" w:tgtFrame="_blank" w:history="1">
              <w:r w:rsidRPr="00D131B4">
                <w:t xml:space="preserve">Centers for Disease Control and Prevention. (2024). Ergonomics risk factors and prevention. https://www.cdc.gov/niosh/ergonomics/ergo-programs/risk-factors.html </w:t>
              </w:r>
            </w:hyperlink>
          </w:p>
        </w:tc>
      </w:tr>
      <w:tr w:rsidR="00ED3918" w:rsidRPr="00ED3918" w14:paraId="1832CB07" w14:textId="77777777" w:rsidTr="00ED3918">
        <w:trPr>
          <w:trHeight w:val="290"/>
        </w:trPr>
        <w:tc>
          <w:tcPr>
            <w:tcW w:w="960" w:type="dxa"/>
            <w:noWrap/>
            <w:hideMark/>
          </w:tcPr>
          <w:p w14:paraId="473F8C14" w14:textId="77777777" w:rsidR="00ED3918" w:rsidRPr="00ED3918" w:rsidRDefault="00ED3918" w:rsidP="00ED3918">
            <w:r w:rsidRPr="00ED3918">
              <w:t>[9]</w:t>
            </w:r>
          </w:p>
        </w:tc>
        <w:tc>
          <w:tcPr>
            <w:tcW w:w="13640" w:type="dxa"/>
            <w:hideMark/>
          </w:tcPr>
          <w:p w14:paraId="6BEDADD6" w14:textId="77777777" w:rsidR="00ED3918" w:rsidRPr="00ED3918" w:rsidRDefault="00ED3918" w:rsidP="00ED3918">
            <w:r w:rsidRPr="00ED3918">
              <w:t xml:space="preserve">Cieza, A., et al. (2025). Global, regional, and national burden of musculoskeletal disorders. </w:t>
            </w:r>
            <w:r w:rsidRPr="00D131B4">
              <w:t>The Lancet Rheumatology</w:t>
            </w:r>
            <w:r w:rsidRPr="00ED3918">
              <w:t xml:space="preserve">. </w:t>
            </w:r>
          </w:p>
        </w:tc>
      </w:tr>
      <w:tr w:rsidR="00ED3918" w:rsidRPr="00ED3918" w14:paraId="0577D5D8" w14:textId="77777777" w:rsidTr="00ED3918">
        <w:trPr>
          <w:trHeight w:val="290"/>
        </w:trPr>
        <w:tc>
          <w:tcPr>
            <w:tcW w:w="960" w:type="dxa"/>
            <w:noWrap/>
            <w:hideMark/>
          </w:tcPr>
          <w:p w14:paraId="6FA38EC0" w14:textId="77777777" w:rsidR="00ED3918" w:rsidRPr="00ED3918" w:rsidRDefault="00ED3918" w:rsidP="00ED3918">
            <w:r w:rsidRPr="00ED3918">
              <w:t>[10]</w:t>
            </w:r>
          </w:p>
        </w:tc>
        <w:tc>
          <w:tcPr>
            <w:tcW w:w="13640" w:type="dxa"/>
            <w:hideMark/>
          </w:tcPr>
          <w:p w14:paraId="70A85954" w14:textId="77777777" w:rsidR="00ED3918" w:rsidRPr="00ED3918" w:rsidRDefault="00ED3918" w:rsidP="00ED3918">
            <w:r w:rsidRPr="00ED3918">
              <w:t xml:space="preserve">Crawford, J. O., et al. (2023). Cognitive demands and musculoskeletal disorders in modern work. </w:t>
            </w:r>
            <w:r w:rsidRPr="00D131B4">
              <w:t>Ergonomics</w:t>
            </w:r>
            <w:r w:rsidRPr="00ED3918">
              <w:t xml:space="preserve">. </w:t>
            </w:r>
          </w:p>
        </w:tc>
      </w:tr>
      <w:tr w:rsidR="00ED3918" w:rsidRPr="00ED3918" w14:paraId="358F84E1" w14:textId="77777777" w:rsidTr="00ED3918">
        <w:trPr>
          <w:trHeight w:val="520"/>
        </w:trPr>
        <w:tc>
          <w:tcPr>
            <w:tcW w:w="960" w:type="dxa"/>
            <w:noWrap/>
            <w:hideMark/>
          </w:tcPr>
          <w:p w14:paraId="6153695A" w14:textId="77777777" w:rsidR="00ED3918" w:rsidRPr="00ED3918" w:rsidRDefault="00ED3918" w:rsidP="00ED3918">
            <w:r w:rsidRPr="00ED3918">
              <w:t>[11]</w:t>
            </w:r>
          </w:p>
        </w:tc>
        <w:tc>
          <w:tcPr>
            <w:tcW w:w="13640" w:type="dxa"/>
            <w:hideMark/>
          </w:tcPr>
          <w:p w14:paraId="57FD9023" w14:textId="77777777" w:rsidR="00ED3918" w:rsidRPr="00ED3918" w:rsidRDefault="00ED3918" w:rsidP="00ED3918">
            <w:r w:rsidRPr="00ED3918">
              <w:t xml:space="preserve">da Costa, B. R., &amp; Vieira, E. R. (2024). Risk factors for work-related musculoskeletal disorders: Systematic review update. </w:t>
            </w:r>
            <w:r w:rsidRPr="00D131B4">
              <w:t>American Journal of Industrial Medicine</w:t>
            </w:r>
            <w:r w:rsidRPr="00ED3918">
              <w:t xml:space="preserve">. </w:t>
            </w:r>
          </w:p>
        </w:tc>
      </w:tr>
      <w:tr w:rsidR="00ED3918" w:rsidRPr="00ED3918" w14:paraId="1F61A306" w14:textId="77777777" w:rsidTr="00ED3918">
        <w:trPr>
          <w:trHeight w:val="290"/>
        </w:trPr>
        <w:tc>
          <w:tcPr>
            <w:tcW w:w="960" w:type="dxa"/>
            <w:noWrap/>
            <w:hideMark/>
          </w:tcPr>
          <w:p w14:paraId="5DE9705F" w14:textId="77777777" w:rsidR="00ED3918" w:rsidRPr="00ED3918" w:rsidRDefault="00ED3918" w:rsidP="00ED3918">
            <w:r w:rsidRPr="00ED3918">
              <w:t>[12]</w:t>
            </w:r>
          </w:p>
        </w:tc>
        <w:tc>
          <w:tcPr>
            <w:tcW w:w="13640" w:type="dxa"/>
            <w:hideMark/>
          </w:tcPr>
          <w:p w14:paraId="5F88D509" w14:textId="77777777" w:rsidR="00ED3918" w:rsidRPr="00ED3918" w:rsidRDefault="00ED3918" w:rsidP="00ED3918">
            <w:hyperlink r:id="rId10" w:tgtFrame="_blank" w:history="1">
              <w:r w:rsidRPr="00D131B4">
                <w:t xml:space="preserve">DORN Companies. (2025). Beyond ergonomic assessments in 2025. https://dorncompanies.com/beyond-ergonomic-assessments </w:t>
              </w:r>
            </w:hyperlink>
          </w:p>
        </w:tc>
      </w:tr>
      <w:tr w:rsidR="00ED3918" w:rsidRPr="00ED3918" w14:paraId="22315880" w14:textId="77777777" w:rsidTr="00ED3918">
        <w:trPr>
          <w:trHeight w:val="290"/>
        </w:trPr>
        <w:tc>
          <w:tcPr>
            <w:tcW w:w="960" w:type="dxa"/>
            <w:noWrap/>
            <w:hideMark/>
          </w:tcPr>
          <w:p w14:paraId="7FB7CE1B" w14:textId="77777777" w:rsidR="00ED3918" w:rsidRPr="00ED3918" w:rsidRDefault="00ED3918" w:rsidP="00ED3918">
            <w:r w:rsidRPr="00ED3918">
              <w:t>[13]</w:t>
            </w:r>
          </w:p>
        </w:tc>
        <w:tc>
          <w:tcPr>
            <w:tcW w:w="13640" w:type="dxa"/>
            <w:hideMark/>
          </w:tcPr>
          <w:p w14:paraId="496AD31A" w14:textId="77777777" w:rsidR="00ED3918" w:rsidRPr="00ED3918" w:rsidRDefault="00ED3918" w:rsidP="00ED3918">
            <w:hyperlink r:id="rId11" w:tgtFrame="_blank" w:history="1">
              <w:r w:rsidRPr="00D131B4">
                <w:t xml:space="preserve">EWI Works. (2025). Office ergonomics trends for hybrid work in 2025. https://ewiworks.com/office-ergonomics-trends-for-2025 </w:t>
              </w:r>
            </w:hyperlink>
          </w:p>
        </w:tc>
      </w:tr>
      <w:tr w:rsidR="00ED3918" w:rsidRPr="00ED3918" w14:paraId="745E9DB7" w14:textId="77777777" w:rsidTr="00ED3918">
        <w:trPr>
          <w:trHeight w:val="290"/>
        </w:trPr>
        <w:tc>
          <w:tcPr>
            <w:tcW w:w="960" w:type="dxa"/>
            <w:noWrap/>
            <w:hideMark/>
          </w:tcPr>
          <w:p w14:paraId="5A1CE7FC" w14:textId="77777777" w:rsidR="00ED3918" w:rsidRPr="00ED3918" w:rsidRDefault="00ED3918" w:rsidP="00ED3918">
            <w:r w:rsidRPr="00ED3918">
              <w:t>[14]</w:t>
            </w:r>
          </w:p>
        </w:tc>
        <w:tc>
          <w:tcPr>
            <w:tcW w:w="13640" w:type="dxa"/>
            <w:hideMark/>
          </w:tcPr>
          <w:p w14:paraId="21FCA54F" w14:textId="77777777" w:rsidR="00ED3918" w:rsidRPr="00ED3918" w:rsidRDefault="00ED3918" w:rsidP="00ED3918">
            <w:hyperlink r:id="rId12" w:tgtFrame="_blank" w:history="1">
              <w:r w:rsidRPr="00D131B4">
                <w:t xml:space="preserve">Frontiers in Public Health. (2023). Ergonomic risk management for occupational safety. https://doi.org/10.3389/fpubh.2023.1253141 </w:t>
              </w:r>
            </w:hyperlink>
          </w:p>
        </w:tc>
      </w:tr>
      <w:tr w:rsidR="00ED3918" w:rsidRPr="00ED3918" w14:paraId="7EC718E5" w14:textId="77777777" w:rsidTr="00ED3918">
        <w:trPr>
          <w:trHeight w:val="290"/>
        </w:trPr>
        <w:tc>
          <w:tcPr>
            <w:tcW w:w="960" w:type="dxa"/>
            <w:noWrap/>
            <w:hideMark/>
          </w:tcPr>
          <w:p w14:paraId="6CD56366" w14:textId="77777777" w:rsidR="00ED3918" w:rsidRPr="00ED3918" w:rsidRDefault="00ED3918" w:rsidP="00ED3918">
            <w:r w:rsidRPr="00ED3918">
              <w:t>[15]</w:t>
            </w:r>
          </w:p>
        </w:tc>
        <w:tc>
          <w:tcPr>
            <w:tcW w:w="13640" w:type="dxa"/>
            <w:hideMark/>
          </w:tcPr>
          <w:p w14:paraId="51532BE0" w14:textId="77777777" w:rsidR="00ED3918" w:rsidRPr="00ED3918" w:rsidRDefault="00ED3918" w:rsidP="00ED3918">
            <w:hyperlink r:id="rId13" w:tgtFrame="_blank" w:history="1">
              <w:r w:rsidRPr="00D131B4">
                <w:t xml:space="preserve">Frontiers in Public Health. (2024). Prevalence of WMSDs among laboratory professionals. https://doi.org/10.3389/fpubh.2024.1443217 </w:t>
              </w:r>
            </w:hyperlink>
          </w:p>
        </w:tc>
      </w:tr>
      <w:tr w:rsidR="00ED3918" w:rsidRPr="00ED3918" w14:paraId="55D38E28" w14:textId="77777777" w:rsidTr="00ED3918">
        <w:trPr>
          <w:trHeight w:val="290"/>
        </w:trPr>
        <w:tc>
          <w:tcPr>
            <w:tcW w:w="960" w:type="dxa"/>
            <w:noWrap/>
            <w:hideMark/>
          </w:tcPr>
          <w:p w14:paraId="3713184E" w14:textId="77777777" w:rsidR="00ED3918" w:rsidRPr="00ED3918" w:rsidRDefault="00ED3918" w:rsidP="00ED3918">
            <w:r w:rsidRPr="00ED3918">
              <w:t>[16]</w:t>
            </w:r>
          </w:p>
        </w:tc>
        <w:tc>
          <w:tcPr>
            <w:tcW w:w="13640" w:type="dxa"/>
            <w:hideMark/>
          </w:tcPr>
          <w:p w14:paraId="72983FC6" w14:textId="77777777" w:rsidR="00ED3918" w:rsidRPr="00ED3918" w:rsidRDefault="00ED3918" w:rsidP="00ED3918">
            <w:hyperlink r:id="rId14" w:tgtFrame="_blank" w:history="1">
              <w:r w:rsidRPr="00D131B4">
                <w:t xml:space="preserve">Hauke, A., et al. (2023). Psychosocial factors and musculoskeletal disorders. PMC10676046. https://pmc.ncbi.nlm.nih.gov/articles/PMC10676046/ </w:t>
              </w:r>
            </w:hyperlink>
          </w:p>
        </w:tc>
      </w:tr>
      <w:tr w:rsidR="00ED3918" w:rsidRPr="00ED3918" w14:paraId="0DD4586A" w14:textId="77777777" w:rsidTr="00ED3918">
        <w:trPr>
          <w:trHeight w:val="290"/>
        </w:trPr>
        <w:tc>
          <w:tcPr>
            <w:tcW w:w="960" w:type="dxa"/>
            <w:noWrap/>
            <w:hideMark/>
          </w:tcPr>
          <w:p w14:paraId="30017EDB" w14:textId="77777777" w:rsidR="00ED3918" w:rsidRPr="00ED3918" w:rsidRDefault="00ED3918" w:rsidP="00ED3918">
            <w:r w:rsidRPr="00ED3918">
              <w:t>[17]</w:t>
            </w:r>
          </w:p>
        </w:tc>
        <w:tc>
          <w:tcPr>
            <w:tcW w:w="13640" w:type="dxa"/>
            <w:hideMark/>
          </w:tcPr>
          <w:p w14:paraId="446C67BB" w14:textId="77777777" w:rsidR="00ED3918" w:rsidRPr="00ED3918" w:rsidRDefault="00ED3918" w:rsidP="00ED3918">
            <w:hyperlink r:id="rId15" w:tgtFrame="_blank" w:history="1">
              <w:r w:rsidRPr="00D131B4">
                <w:t xml:space="preserve">International Ergonomics Association. (2023). Definition and domains of ergonomics. https://iea.cc/about/what-is-ergonomics/ </w:t>
              </w:r>
            </w:hyperlink>
          </w:p>
        </w:tc>
      </w:tr>
      <w:tr w:rsidR="00ED3918" w:rsidRPr="00ED3918" w14:paraId="3730665F" w14:textId="77777777" w:rsidTr="00ED3918">
        <w:trPr>
          <w:trHeight w:val="290"/>
        </w:trPr>
        <w:tc>
          <w:tcPr>
            <w:tcW w:w="960" w:type="dxa"/>
            <w:noWrap/>
            <w:hideMark/>
          </w:tcPr>
          <w:p w14:paraId="26508811" w14:textId="77777777" w:rsidR="00ED3918" w:rsidRPr="00ED3918" w:rsidRDefault="00ED3918" w:rsidP="00ED3918">
            <w:r w:rsidRPr="00ED3918">
              <w:t>[18]</w:t>
            </w:r>
          </w:p>
        </w:tc>
        <w:tc>
          <w:tcPr>
            <w:tcW w:w="13640" w:type="dxa"/>
            <w:hideMark/>
          </w:tcPr>
          <w:p w14:paraId="7A80B86F" w14:textId="77777777" w:rsidR="00ED3918" w:rsidRPr="00ED3918" w:rsidRDefault="00ED3918" w:rsidP="00ED3918">
            <w:r w:rsidRPr="00ED3918">
              <w:t xml:space="preserve">Karasek, R., &amp; Theorell, T. (2023). Demand-control-support model updates. Basic Books. </w:t>
            </w:r>
          </w:p>
        </w:tc>
      </w:tr>
      <w:tr w:rsidR="00ED3918" w:rsidRPr="00ED3918" w14:paraId="007AA57A" w14:textId="77777777" w:rsidTr="00ED3918">
        <w:trPr>
          <w:trHeight w:val="290"/>
        </w:trPr>
        <w:tc>
          <w:tcPr>
            <w:tcW w:w="960" w:type="dxa"/>
            <w:noWrap/>
            <w:hideMark/>
          </w:tcPr>
          <w:p w14:paraId="56D421A7" w14:textId="77777777" w:rsidR="00ED3918" w:rsidRPr="00ED3918" w:rsidRDefault="00ED3918" w:rsidP="00ED3918">
            <w:r w:rsidRPr="00ED3918">
              <w:t>[19]</w:t>
            </w:r>
          </w:p>
        </w:tc>
        <w:tc>
          <w:tcPr>
            <w:tcW w:w="13640" w:type="dxa"/>
            <w:hideMark/>
          </w:tcPr>
          <w:p w14:paraId="231BE706" w14:textId="77777777" w:rsidR="00ED3918" w:rsidRPr="00ED3918" w:rsidRDefault="00ED3918" w:rsidP="00ED3918">
            <w:r w:rsidRPr="00ED3918">
              <w:t xml:space="preserve">Li, Y., et al. (2025). Mixed ergonomic exposures and WMSDs. </w:t>
            </w:r>
            <w:r w:rsidRPr="00D131B4">
              <w:t>Scientific Reports</w:t>
            </w:r>
            <w:r w:rsidRPr="00ED3918">
              <w:t xml:space="preserve">. PMID: 40289235 </w:t>
            </w:r>
          </w:p>
        </w:tc>
      </w:tr>
      <w:tr w:rsidR="00ED3918" w:rsidRPr="00ED3918" w14:paraId="6B3E574E" w14:textId="77777777" w:rsidTr="00ED3918">
        <w:trPr>
          <w:trHeight w:val="290"/>
        </w:trPr>
        <w:tc>
          <w:tcPr>
            <w:tcW w:w="960" w:type="dxa"/>
            <w:noWrap/>
            <w:hideMark/>
          </w:tcPr>
          <w:p w14:paraId="7C2AFA0E" w14:textId="77777777" w:rsidR="00ED3918" w:rsidRPr="00ED3918" w:rsidRDefault="00ED3918" w:rsidP="00ED3918">
            <w:r w:rsidRPr="00ED3918">
              <w:t>[20]</w:t>
            </w:r>
          </w:p>
        </w:tc>
        <w:tc>
          <w:tcPr>
            <w:tcW w:w="13640" w:type="dxa"/>
            <w:hideMark/>
          </w:tcPr>
          <w:p w14:paraId="17C7E8E5" w14:textId="77777777" w:rsidR="00ED3918" w:rsidRPr="00ED3918" w:rsidRDefault="00ED3918" w:rsidP="00ED3918">
            <w:r w:rsidRPr="00ED3918">
              <w:t xml:space="preserve">Mahmud, N., et al. (2024). Effectiveness of ergonomic interventions: Systematic review. </w:t>
            </w:r>
            <w:r w:rsidRPr="00D131B4">
              <w:t>International Journal of Environmental Research and Public Health</w:t>
            </w:r>
            <w:r w:rsidRPr="00ED3918">
              <w:t xml:space="preserve">. </w:t>
            </w:r>
          </w:p>
        </w:tc>
      </w:tr>
      <w:tr w:rsidR="00ED3918" w:rsidRPr="00ED3918" w14:paraId="238FCFBC" w14:textId="77777777" w:rsidTr="00ED3918">
        <w:trPr>
          <w:trHeight w:val="290"/>
        </w:trPr>
        <w:tc>
          <w:tcPr>
            <w:tcW w:w="960" w:type="dxa"/>
            <w:noWrap/>
            <w:hideMark/>
          </w:tcPr>
          <w:p w14:paraId="51A83B6E" w14:textId="77777777" w:rsidR="00ED3918" w:rsidRPr="00ED3918" w:rsidRDefault="00ED3918" w:rsidP="00ED3918">
            <w:r w:rsidRPr="00ED3918">
              <w:t>[21]</w:t>
            </w:r>
          </w:p>
        </w:tc>
        <w:tc>
          <w:tcPr>
            <w:tcW w:w="13640" w:type="dxa"/>
            <w:hideMark/>
          </w:tcPr>
          <w:p w14:paraId="3DFCBA9C" w14:textId="77777777" w:rsidR="00ED3918" w:rsidRPr="00ED3918" w:rsidRDefault="00ED3918" w:rsidP="00ED3918">
            <w:r w:rsidRPr="00ED3918">
              <w:t xml:space="preserve">Oakman, J., et al. (2023). A conceptual framework for psychosocial risks and MSDs. </w:t>
            </w:r>
            <w:r w:rsidRPr="00D131B4">
              <w:t>Applied Ergonomics</w:t>
            </w:r>
            <w:r w:rsidRPr="00ED3918">
              <w:t xml:space="preserve">. </w:t>
            </w:r>
          </w:p>
        </w:tc>
      </w:tr>
      <w:tr w:rsidR="00ED3918" w:rsidRPr="00ED3918" w14:paraId="218D0AE1" w14:textId="77777777" w:rsidTr="00ED3918">
        <w:trPr>
          <w:trHeight w:val="290"/>
        </w:trPr>
        <w:tc>
          <w:tcPr>
            <w:tcW w:w="960" w:type="dxa"/>
            <w:noWrap/>
            <w:hideMark/>
          </w:tcPr>
          <w:p w14:paraId="5F2129B3" w14:textId="77777777" w:rsidR="00ED3918" w:rsidRPr="00ED3918" w:rsidRDefault="00ED3918" w:rsidP="00ED3918">
            <w:r w:rsidRPr="00ED3918">
              <w:t>[22]</w:t>
            </w:r>
          </w:p>
        </w:tc>
        <w:tc>
          <w:tcPr>
            <w:tcW w:w="13640" w:type="dxa"/>
            <w:hideMark/>
          </w:tcPr>
          <w:p w14:paraId="1649A008" w14:textId="77777777" w:rsidR="00ED3918" w:rsidRPr="00ED3918" w:rsidRDefault="00ED3918" w:rsidP="00ED3918">
            <w:r w:rsidRPr="00ED3918">
              <w:t xml:space="preserve">Punnett, L., &amp; Wegman, D. H. (2023). Work-related musculoskeletal disorders: Epidemiologic evidence update. </w:t>
            </w:r>
            <w:r w:rsidRPr="00D131B4">
              <w:t>Journal of Electromyography and Kinesiology</w:t>
            </w:r>
            <w:r w:rsidRPr="00ED3918">
              <w:t xml:space="preserve">. </w:t>
            </w:r>
          </w:p>
        </w:tc>
      </w:tr>
      <w:tr w:rsidR="00ED3918" w:rsidRPr="00ED3918" w14:paraId="4B93B7AE" w14:textId="77777777" w:rsidTr="00ED3918">
        <w:trPr>
          <w:trHeight w:val="290"/>
        </w:trPr>
        <w:tc>
          <w:tcPr>
            <w:tcW w:w="960" w:type="dxa"/>
            <w:noWrap/>
            <w:hideMark/>
          </w:tcPr>
          <w:p w14:paraId="3AE72784" w14:textId="77777777" w:rsidR="00ED3918" w:rsidRPr="00ED3918" w:rsidRDefault="00ED3918" w:rsidP="00ED3918">
            <w:r w:rsidRPr="00ED3918">
              <w:t>[23]</w:t>
            </w:r>
          </w:p>
        </w:tc>
        <w:tc>
          <w:tcPr>
            <w:tcW w:w="13640" w:type="dxa"/>
            <w:hideMark/>
          </w:tcPr>
          <w:p w14:paraId="50E3BB42" w14:textId="77777777" w:rsidR="00ED3918" w:rsidRPr="00ED3918" w:rsidRDefault="00ED3918" w:rsidP="00ED3918">
            <w:r w:rsidRPr="00ED3918">
              <w:t xml:space="preserve">Rothmore, P., &amp; Gray, J. (2025). Participatory ergonomics in healthcare settings. </w:t>
            </w:r>
            <w:r w:rsidRPr="00D131B4">
              <w:t>Journal of Occupational and Environmental Medicine</w:t>
            </w:r>
            <w:r w:rsidRPr="00ED3918">
              <w:t xml:space="preserve">. </w:t>
            </w:r>
          </w:p>
        </w:tc>
      </w:tr>
      <w:tr w:rsidR="00ED3918" w:rsidRPr="00ED3918" w14:paraId="498F513C" w14:textId="77777777" w:rsidTr="00ED3918">
        <w:trPr>
          <w:trHeight w:val="290"/>
        </w:trPr>
        <w:tc>
          <w:tcPr>
            <w:tcW w:w="960" w:type="dxa"/>
            <w:noWrap/>
            <w:hideMark/>
          </w:tcPr>
          <w:p w14:paraId="7CFA6CD8" w14:textId="77777777" w:rsidR="00ED3918" w:rsidRPr="00ED3918" w:rsidRDefault="00ED3918" w:rsidP="00ED3918">
            <w:r w:rsidRPr="00ED3918">
              <w:t>[24]</w:t>
            </w:r>
          </w:p>
        </w:tc>
        <w:tc>
          <w:tcPr>
            <w:tcW w:w="13640" w:type="dxa"/>
            <w:hideMark/>
          </w:tcPr>
          <w:p w14:paraId="2E2E841E" w14:textId="77777777" w:rsidR="00ED3918" w:rsidRPr="00ED3918" w:rsidRDefault="00ED3918" w:rsidP="00ED3918">
            <w:r w:rsidRPr="00ED3918">
              <w:t xml:space="preserve">Sawyer, B., &amp; Stanton, N. (2025). Grand challenges in human factors and ergonomics. </w:t>
            </w:r>
            <w:r w:rsidRPr="00D131B4">
              <w:t>Theoretical Issues in Ergonomics Science, 26</w:t>
            </w:r>
            <w:r w:rsidRPr="00ED3918">
              <w:t xml:space="preserve">(4), 361–370. </w:t>
            </w:r>
          </w:p>
        </w:tc>
      </w:tr>
      <w:tr w:rsidR="00ED3918" w:rsidRPr="00ED3918" w14:paraId="1B972F76" w14:textId="77777777" w:rsidTr="00ED3918">
        <w:trPr>
          <w:trHeight w:val="520"/>
        </w:trPr>
        <w:tc>
          <w:tcPr>
            <w:tcW w:w="960" w:type="dxa"/>
            <w:noWrap/>
            <w:hideMark/>
          </w:tcPr>
          <w:p w14:paraId="1A2C3893" w14:textId="77777777" w:rsidR="00ED3918" w:rsidRPr="00ED3918" w:rsidRDefault="00ED3918" w:rsidP="00ED3918">
            <w:r w:rsidRPr="00ED3918">
              <w:t>[25]</w:t>
            </w:r>
          </w:p>
        </w:tc>
        <w:tc>
          <w:tcPr>
            <w:tcW w:w="13640" w:type="dxa"/>
            <w:hideMark/>
          </w:tcPr>
          <w:p w14:paraId="2D8327B6" w14:textId="77777777" w:rsidR="00ED3918" w:rsidRPr="00ED3918" w:rsidRDefault="00ED3918" w:rsidP="00ED3918">
            <w:hyperlink r:id="rId16" w:tgtFrame="_blank" w:history="1">
              <w:r w:rsidRPr="00D131B4">
                <w:t xml:space="preserve">Steinmetz, A., et al. (2024). Work-related musculoskeletal disorders: Meta-analysis. Journal of Clinical Medicine, 13(13), 3964. https://doi.org/10.3390/jcm13133964 </w:t>
              </w:r>
            </w:hyperlink>
          </w:p>
        </w:tc>
      </w:tr>
      <w:tr w:rsidR="00ED3918" w:rsidRPr="00ED3918" w14:paraId="1C391FF9" w14:textId="77777777" w:rsidTr="00ED3918">
        <w:trPr>
          <w:trHeight w:val="290"/>
        </w:trPr>
        <w:tc>
          <w:tcPr>
            <w:tcW w:w="960" w:type="dxa"/>
            <w:noWrap/>
            <w:hideMark/>
          </w:tcPr>
          <w:p w14:paraId="12047A24" w14:textId="77777777" w:rsidR="00ED3918" w:rsidRPr="00ED3918" w:rsidRDefault="00ED3918" w:rsidP="00ED3918">
            <w:r w:rsidRPr="00ED3918">
              <w:t>[26]</w:t>
            </w:r>
          </w:p>
        </w:tc>
        <w:tc>
          <w:tcPr>
            <w:tcW w:w="13640" w:type="dxa"/>
            <w:hideMark/>
          </w:tcPr>
          <w:p w14:paraId="50CE7A5D" w14:textId="77777777" w:rsidR="00ED3918" w:rsidRPr="00ED3918" w:rsidRDefault="00ED3918" w:rsidP="00ED3918">
            <w:hyperlink r:id="rId17" w:tgtFrame="_blank" w:history="1">
              <w:r w:rsidRPr="00D131B4">
                <w:t xml:space="preserve">van der Beek, A. J., et al. (2025). Participatory ergonomic interventions effectiveness. JMIR Human Factors. https://doi.org/10.2196/68522 </w:t>
              </w:r>
            </w:hyperlink>
          </w:p>
        </w:tc>
      </w:tr>
      <w:tr w:rsidR="00ED3918" w:rsidRPr="00ED3918" w14:paraId="0509F17D" w14:textId="77777777" w:rsidTr="00ED3918">
        <w:trPr>
          <w:trHeight w:val="520"/>
        </w:trPr>
        <w:tc>
          <w:tcPr>
            <w:tcW w:w="960" w:type="dxa"/>
            <w:noWrap/>
            <w:hideMark/>
          </w:tcPr>
          <w:p w14:paraId="568C534B" w14:textId="77777777" w:rsidR="00ED3918" w:rsidRPr="00ED3918" w:rsidRDefault="00ED3918" w:rsidP="00ED3918">
            <w:r w:rsidRPr="00ED3918">
              <w:t>[27]</w:t>
            </w:r>
          </w:p>
        </w:tc>
        <w:tc>
          <w:tcPr>
            <w:tcW w:w="13640" w:type="dxa"/>
            <w:hideMark/>
          </w:tcPr>
          <w:p w14:paraId="60645B28" w14:textId="77777777" w:rsidR="00ED3918" w:rsidRPr="00ED3918" w:rsidRDefault="00ED3918" w:rsidP="00ED3918">
            <w:hyperlink r:id="rId18" w:tgtFrame="_blank" w:history="1">
              <w:r w:rsidRPr="00D131B4">
                <w:t xml:space="preserve">World Health Organization. (2023). Musculoskeletal conditions global fact sheet. https://www.who.int/news-room/fact-sheets/detail/musculoskeletal-conditions </w:t>
              </w:r>
            </w:hyperlink>
          </w:p>
        </w:tc>
      </w:tr>
      <w:tr w:rsidR="00ED3918" w:rsidRPr="00ED3918" w14:paraId="10AC43D5" w14:textId="77777777" w:rsidTr="00ED3918">
        <w:trPr>
          <w:trHeight w:val="290"/>
        </w:trPr>
        <w:tc>
          <w:tcPr>
            <w:tcW w:w="960" w:type="dxa"/>
            <w:noWrap/>
            <w:hideMark/>
          </w:tcPr>
          <w:p w14:paraId="698207B9" w14:textId="77777777" w:rsidR="00ED3918" w:rsidRPr="00ED3918" w:rsidRDefault="00ED3918" w:rsidP="00ED3918">
            <w:r w:rsidRPr="00ED3918">
              <w:t>[28]</w:t>
            </w:r>
          </w:p>
        </w:tc>
        <w:tc>
          <w:tcPr>
            <w:tcW w:w="13640" w:type="dxa"/>
            <w:hideMark/>
          </w:tcPr>
          <w:p w14:paraId="3C6F30B4" w14:textId="77777777" w:rsidR="00ED3918" w:rsidRPr="00ED3918" w:rsidRDefault="00ED3918" w:rsidP="00ED3918">
            <w:hyperlink r:id="rId19" w:tgtFrame="_blank" w:history="1">
              <w:r w:rsidRPr="00D131B4">
                <w:t xml:space="preserve">A systematic review of WMSDs among bankers (2024). Heliyon. https://doi.org/10.1016/j.heliyon.2024.e01106X </w:t>
              </w:r>
            </w:hyperlink>
          </w:p>
        </w:tc>
      </w:tr>
      <w:tr w:rsidR="00ED3918" w:rsidRPr="00ED3918" w14:paraId="06142561" w14:textId="77777777" w:rsidTr="00ED3918">
        <w:trPr>
          <w:trHeight w:val="290"/>
        </w:trPr>
        <w:tc>
          <w:tcPr>
            <w:tcW w:w="960" w:type="dxa"/>
            <w:noWrap/>
            <w:hideMark/>
          </w:tcPr>
          <w:p w14:paraId="3BB2FF12" w14:textId="77777777" w:rsidR="00ED3918" w:rsidRPr="00ED3918" w:rsidRDefault="00ED3918" w:rsidP="00ED3918">
            <w:r w:rsidRPr="00ED3918">
              <w:t>[29]</w:t>
            </w:r>
          </w:p>
        </w:tc>
        <w:tc>
          <w:tcPr>
            <w:tcW w:w="13640" w:type="dxa"/>
            <w:hideMark/>
          </w:tcPr>
          <w:p w14:paraId="5CF03452" w14:textId="77777777" w:rsidR="00ED3918" w:rsidRPr="00ED3918" w:rsidRDefault="00ED3918" w:rsidP="00ED3918">
            <w:hyperlink r:id="rId20" w:tgtFrame="_blank" w:history="1">
              <w:r w:rsidRPr="00D131B4">
                <w:t xml:space="preserve">Efficacy of ergonomic interventions on WMSDs (2024). Journal of Clinical Medicine, 14(9), 3034. https://www.mdpi.com/2077-0383/14/9/3034 </w:t>
              </w:r>
            </w:hyperlink>
          </w:p>
        </w:tc>
      </w:tr>
      <w:tr w:rsidR="00ED3918" w:rsidRPr="00ED3918" w14:paraId="0D928A3F" w14:textId="77777777" w:rsidTr="00ED3918">
        <w:trPr>
          <w:trHeight w:val="290"/>
        </w:trPr>
        <w:tc>
          <w:tcPr>
            <w:tcW w:w="960" w:type="dxa"/>
            <w:noWrap/>
            <w:hideMark/>
          </w:tcPr>
          <w:p w14:paraId="4DEAA9D1" w14:textId="77777777" w:rsidR="00ED3918" w:rsidRPr="00ED3918" w:rsidRDefault="00ED3918" w:rsidP="00ED3918">
            <w:r w:rsidRPr="00ED3918">
              <w:t>[30]</w:t>
            </w:r>
          </w:p>
        </w:tc>
        <w:tc>
          <w:tcPr>
            <w:tcW w:w="13640" w:type="dxa"/>
            <w:hideMark/>
          </w:tcPr>
          <w:p w14:paraId="3E819DE1" w14:textId="77777777" w:rsidR="00ED3918" w:rsidRPr="00ED3918" w:rsidRDefault="00ED3918" w:rsidP="00ED3918">
            <w:r w:rsidRPr="00ED3918">
              <w:t xml:space="preserve">Ergonomic risk assessment tools validity and reliability (2025). </w:t>
            </w:r>
            <w:r w:rsidRPr="00D131B4">
              <w:t>Theoretical Issues in Ergonomics Science</w:t>
            </w:r>
            <w:r w:rsidRPr="00ED3918">
              <w:t xml:space="preserve">. </w:t>
            </w:r>
          </w:p>
        </w:tc>
      </w:tr>
      <w:tr w:rsidR="00ED3918" w:rsidRPr="00ED3918" w14:paraId="2BCD944A" w14:textId="77777777" w:rsidTr="00ED3918">
        <w:trPr>
          <w:trHeight w:val="290"/>
        </w:trPr>
        <w:tc>
          <w:tcPr>
            <w:tcW w:w="960" w:type="dxa"/>
            <w:noWrap/>
            <w:hideMark/>
          </w:tcPr>
          <w:p w14:paraId="49CE4DA1" w14:textId="77777777" w:rsidR="00ED3918" w:rsidRPr="00ED3918" w:rsidRDefault="00ED3918" w:rsidP="00ED3918">
            <w:r w:rsidRPr="00ED3918">
              <w:t>[31]</w:t>
            </w:r>
          </w:p>
        </w:tc>
        <w:tc>
          <w:tcPr>
            <w:tcW w:w="13640" w:type="dxa"/>
            <w:hideMark/>
          </w:tcPr>
          <w:p w14:paraId="0A8502EA" w14:textId="77777777" w:rsidR="00ED3918" w:rsidRPr="00ED3918" w:rsidRDefault="00ED3918" w:rsidP="00ED3918">
            <w:r w:rsidRPr="00ED3918">
              <w:t xml:space="preserve">Participatory ergonomics in nursing: Systematic review (2025). PubMed PMID 40532143. </w:t>
            </w:r>
          </w:p>
        </w:tc>
      </w:tr>
      <w:tr w:rsidR="00ED3918" w:rsidRPr="00ED3918" w14:paraId="0BF4BF08" w14:textId="77777777" w:rsidTr="00ED3918">
        <w:trPr>
          <w:trHeight w:val="290"/>
        </w:trPr>
        <w:tc>
          <w:tcPr>
            <w:tcW w:w="960" w:type="dxa"/>
            <w:noWrap/>
            <w:hideMark/>
          </w:tcPr>
          <w:p w14:paraId="08BEA717" w14:textId="77777777" w:rsidR="00ED3918" w:rsidRPr="00ED3918" w:rsidRDefault="00ED3918" w:rsidP="00ED3918">
            <w:r w:rsidRPr="00ED3918">
              <w:t>[32]</w:t>
            </w:r>
          </w:p>
        </w:tc>
        <w:tc>
          <w:tcPr>
            <w:tcW w:w="13640" w:type="dxa"/>
            <w:hideMark/>
          </w:tcPr>
          <w:p w14:paraId="151CC66B" w14:textId="77777777" w:rsidR="00ED3918" w:rsidRPr="00ED3918" w:rsidRDefault="00ED3918" w:rsidP="00ED3918">
            <w:r w:rsidRPr="00ED3918">
              <w:t xml:space="preserve">Prevalence of WMSDs in healthcare workers (2024). </w:t>
            </w:r>
            <w:r w:rsidRPr="00D131B4">
              <w:t>Frontiers in Public Health</w:t>
            </w:r>
            <w:r w:rsidRPr="00ED3918">
              <w:t xml:space="preserve">. </w:t>
            </w:r>
          </w:p>
        </w:tc>
      </w:tr>
      <w:tr w:rsidR="00ED3918" w:rsidRPr="00ED3918" w14:paraId="58AB8F4D" w14:textId="77777777" w:rsidTr="00ED3918">
        <w:trPr>
          <w:trHeight w:val="290"/>
        </w:trPr>
        <w:tc>
          <w:tcPr>
            <w:tcW w:w="960" w:type="dxa"/>
            <w:noWrap/>
            <w:hideMark/>
          </w:tcPr>
          <w:p w14:paraId="4751464F" w14:textId="77777777" w:rsidR="00ED3918" w:rsidRPr="00ED3918" w:rsidRDefault="00ED3918" w:rsidP="00ED3918">
            <w:r w:rsidRPr="00ED3918">
              <w:t>[33]</w:t>
            </w:r>
          </w:p>
        </w:tc>
        <w:tc>
          <w:tcPr>
            <w:tcW w:w="13640" w:type="dxa"/>
            <w:hideMark/>
          </w:tcPr>
          <w:p w14:paraId="14032B94" w14:textId="77777777" w:rsidR="00ED3918" w:rsidRPr="00ED3918" w:rsidRDefault="00ED3918" w:rsidP="00ED3918">
            <w:r w:rsidRPr="00ED3918">
              <w:t xml:space="preserve">Musculoskeletal disorders in software professionals (2025). PMC12349777. </w:t>
            </w:r>
          </w:p>
        </w:tc>
      </w:tr>
      <w:tr w:rsidR="00ED3918" w:rsidRPr="00ED3918" w14:paraId="3FBC2591" w14:textId="77777777" w:rsidTr="00ED3918">
        <w:trPr>
          <w:trHeight w:val="290"/>
        </w:trPr>
        <w:tc>
          <w:tcPr>
            <w:tcW w:w="960" w:type="dxa"/>
            <w:noWrap/>
            <w:hideMark/>
          </w:tcPr>
          <w:p w14:paraId="48A56233" w14:textId="77777777" w:rsidR="00ED3918" w:rsidRPr="00ED3918" w:rsidRDefault="00ED3918" w:rsidP="00ED3918">
            <w:r w:rsidRPr="00ED3918">
              <w:t>[34]</w:t>
            </w:r>
          </w:p>
        </w:tc>
        <w:tc>
          <w:tcPr>
            <w:tcW w:w="13640" w:type="dxa"/>
            <w:hideMark/>
          </w:tcPr>
          <w:p w14:paraId="0BB52795" w14:textId="77777777" w:rsidR="00ED3918" w:rsidRPr="00ED3918" w:rsidRDefault="00ED3918" w:rsidP="00ED3918">
            <w:r w:rsidRPr="00ED3918">
              <w:t xml:space="preserve">Combined ergonomic and physical activity interventions (2025). </w:t>
            </w:r>
            <w:r w:rsidRPr="00D131B4">
              <w:t>Workplace Health &amp; Safety</w:t>
            </w:r>
            <w:r w:rsidRPr="00ED3918">
              <w:t xml:space="preserve">. </w:t>
            </w:r>
          </w:p>
        </w:tc>
      </w:tr>
      <w:tr w:rsidR="00ED3918" w:rsidRPr="00ED3918" w14:paraId="5845CD58" w14:textId="77777777" w:rsidTr="00ED3918">
        <w:trPr>
          <w:trHeight w:val="290"/>
        </w:trPr>
        <w:tc>
          <w:tcPr>
            <w:tcW w:w="960" w:type="dxa"/>
            <w:noWrap/>
            <w:hideMark/>
          </w:tcPr>
          <w:p w14:paraId="2FFA0C7C" w14:textId="77777777" w:rsidR="00ED3918" w:rsidRPr="00ED3918" w:rsidRDefault="00ED3918" w:rsidP="00ED3918">
            <w:r w:rsidRPr="00ED3918">
              <w:t>[35]</w:t>
            </w:r>
          </w:p>
        </w:tc>
        <w:tc>
          <w:tcPr>
            <w:tcW w:w="13640" w:type="dxa"/>
            <w:hideMark/>
          </w:tcPr>
          <w:p w14:paraId="26BDBE99" w14:textId="77777777" w:rsidR="00ED3918" w:rsidRPr="00ED3918" w:rsidRDefault="00ED3918" w:rsidP="00ED3918">
            <w:hyperlink r:id="rId21" w:tgtFrame="_blank" w:history="1">
              <w:r w:rsidRPr="00D131B4">
                <w:t xml:space="preserve">Ergonomic interventions in nursing homes (2025). BMC Public Health. https://doi.org/10.1186/s12889-025-21798-1 </w:t>
              </w:r>
            </w:hyperlink>
          </w:p>
        </w:tc>
      </w:tr>
      <w:tr w:rsidR="00ED3918" w:rsidRPr="00ED3918" w14:paraId="74BE4E81" w14:textId="77777777" w:rsidTr="00ED3918">
        <w:trPr>
          <w:trHeight w:val="290"/>
        </w:trPr>
        <w:tc>
          <w:tcPr>
            <w:tcW w:w="960" w:type="dxa"/>
            <w:noWrap/>
            <w:hideMark/>
          </w:tcPr>
          <w:p w14:paraId="08E39A0A" w14:textId="77777777" w:rsidR="00ED3918" w:rsidRPr="00ED3918" w:rsidRDefault="00ED3918" w:rsidP="00ED3918">
            <w:r w:rsidRPr="00ED3918">
              <w:t>[36]</w:t>
            </w:r>
          </w:p>
        </w:tc>
        <w:tc>
          <w:tcPr>
            <w:tcW w:w="13640" w:type="dxa"/>
            <w:hideMark/>
          </w:tcPr>
          <w:p w14:paraId="1E9928C8" w14:textId="77777777" w:rsidR="00ED3918" w:rsidRPr="00ED3918" w:rsidRDefault="00ED3918" w:rsidP="00ED3918">
            <w:r w:rsidRPr="00ED3918">
              <w:t xml:space="preserve">Cognitive ergonomics in aging workforce (2025). ResearchGate publication 396909403. </w:t>
            </w:r>
          </w:p>
        </w:tc>
      </w:tr>
      <w:tr w:rsidR="00ED3918" w:rsidRPr="00ED3918" w14:paraId="4F98D761" w14:textId="77777777" w:rsidTr="00ED3918">
        <w:trPr>
          <w:trHeight w:val="290"/>
        </w:trPr>
        <w:tc>
          <w:tcPr>
            <w:tcW w:w="960" w:type="dxa"/>
            <w:noWrap/>
            <w:hideMark/>
          </w:tcPr>
          <w:p w14:paraId="43D6A080" w14:textId="77777777" w:rsidR="00ED3918" w:rsidRPr="00ED3918" w:rsidRDefault="00ED3918" w:rsidP="00ED3918">
            <w:r w:rsidRPr="00ED3918">
              <w:t>[37]</w:t>
            </w:r>
          </w:p>
        </w:tc>
        <w:tc>
          <w:tcPr>
            <w:tcW w:w="13640" w:type="dxa"/>
            <w:hideMark/>
          </w:tcPr>
          <w:p w14:paraId="1BD82F3C" w14:textId="77777777" w:rsidR="00ED3918" w:rsidRPr="00ED3918" w:rsidRDefault="00ED3918" w:rsidP="00ED3918">
            <w:r w:rsidRPr="00ED3918">
              <w:t xml:space="preserve">Role of cognitive ergonomics in work efficiency (2025). </w:t>
            </w:r>
            <w:r w:rsidRPr="00D131B4">
              <w:t>Sage Open</w:t>
            </w:r>
            <w:r w:rsidRPr="00ED3918">
              <w:t xml:space="preserve">. </w:t>
            </w:r>
          </w:p>
        </w:tc>
      </w:tr>
      <w:tr w:rsidR="00ED3918" w:rsidRPr="00ED3918" w14:paraId="1435A4AD" w14:textId="77777777" w:rsidTr="00ED3918">
        <w:trPr>
          <w:trHeight w:val="290"/>
        </w:trPr>
        <w:tc>
          <w:tcPr>
            <w:tcW w:w="960" w:type="dxa"/>
            <w:noWrap/>
            <w:hideMark/>
          </w:tcPr>
          <w:p w14:paraId="358B8220" w14:textId="77777777" w:rsidR="00ED3918" w:rsidRPr="00ED3918" w:rsidRDefault="00ED3918" w:rsidP="00ED3918">
            <w:r w:rsidRPr="00ED3918">
              <w:lastRenderedPageBreak/>
              <w:t>[38]</w:t>
            </w:r>
          </w:p>
        </w:tc>
        <w:tc>
          <w:tcPr>
            <w:tcW w:w="13640" w:type="dxa"/>
            <w:hideMark/>
          </w:tcPr>
          <w:p w14:paraId="440BCFF4" w14:textId="77777777" w:rsidR="00ED3918" w:rsidRPr="00ED3918" w:rsidRDefault="00ED3918" w:rsidP="00ED3918">
            <w:r w:rsidRPr="00ED3918">
              <w:t xml:space="preserve">Digital ergonomics report 2025 (Baua.de Federal Institute). </w:t>
            </w:r>
          </w:p>
        </w:tc>
      </w:tr>
      <w:tr w:rsidR="00ED3918" w:rsidRPr="00ED3918" w14:paraId="6B407A77" w14:textId="77777777" w:rsidTr="00ED3918">
        <w:trPr>
          <w:trHeight w:val="290"/>
        </w:trPr>
        <w:tc>
          <w:tcPr>
            <w:tcW w:w="960" w:type="dxa"/>
            <w:noWrap/>
            <w:hideMark/>
          </w:tcPr>
          <w:p w14:paraId="68FB3CF0" w14:textId="77777777" w:rsidR="00ED3918" w:rsidRPr="00ED3918" w:rsidRDefault="00ED3918" w:rsidP="00ED3918">
            <w:r w:rsidRPr="00ED3918">
              <w:t>[39]</w:t>
            </w:r>
          </w:p>
        </w:tc>
        <w:tc>
          <w:tcPr>
            <w:tcW w:w="13640" w:type="dxa"/>
            <w:hideMark/>
          </w:tcPr>
          <w:p w14:paraId="095DB6F5" w14:textId="77777777" w:rsidR="00ED3918" w:rsidRPr="00ED3918" w:rsidRDefault="00ED3918" w:rsidP="00ED3918">
            <w:r w:rsidRPr="00ED3918">
              <w:t xml:space="preserve">Ergonomic challenges in robotic-assisted surgery (2025). </w:t>
            </w:r>
            <w:r w:rsidRPr="00D131B4">
              <w:t>Annals of Laparoscopic and Endoscopic Surgery</w:t>
            </w:r>
            <w:r w:rsidRPr="00ED3918">
              <w:t xml:space="preserve">. </w:t>
            </w:r>
          </w:p>
        </w:tc>
      </w:tr>
      <w:tr w:rsidR="00ED3918" w:rsidRPr="00ED3918" w14:paraId="31B547F5" w14:textId="77777777" w:rsidTr="00ED3918">
        <w:trPr>
          <w:trHeight w:val="290"/>
        </w:trPr>
        <w:tc>
          <w:tcPr>
            <w:tcW w:w="960" w:type="dxa"/>
            <w:noWrap/>
            <w:hideMark/>
          </w:tcPr>
          <w:p w14:paraId="23A7208B" w14:textId="77777777" w:rsidR="00ED3918" w:rsidRPr="00ED3918" w:rsidRDefault="00ED3918" w:rsidP="00ED3918">
            <w:r w:rsidRPr="00ED3918">
              <w:t>[40]</w:t>
            </w:r>
          </w:p>
        </w:tc>
        <w:tc>
          <w:tcPr>
            <w:tcW w:w="13640" w:type="dxa"/>
            <w:hideMark/>
          </w:tcPr>
          <w:p w14:paraId="5D982AF8" w14:textId="77777777" w:rsidR="00ED3918" w:rsidRPr="00ED3918" w:rsidRDefault="00ED3918" w:rsidP="00ED3918">
            <w:r w:rsidRPr="00ED3918">
              <w:t xml:space="preserve">Implementation challenges in SMEs ergonomics programs (2025). ResearchGate publication 395301357. </w:t>
            </w:r>
          </w:p>
        </w:tc>
      </w:tr>
      <w:tr w:rsidR="00ED3918" w:rsidRPr="00ED3918" w14:paraId="1E63C6BF" w14:textId="77777777" w:rsidTr="00ED3918">
        <w:trPr>
          <w:trHeight w:val="290"/>
        </w:trPr>
        <w:tc>
          <w:tcPr>
            <w:tcW w:w="960" w:type="dxa"/>
            <w:noWrap/>
            <w:hideMark/>
          </w:tcPr>
          <w:p w14:paraId="12965002" w14:textId="77777777" w:rsidR="00ED3918" w:rsidRPr="00ED3918" w:rsidRDefault="00ED3918" w:rsidP="00ED3918">
            <w:r w:rsidRPr="00ED3918">
              <w:t>[41]</w:t>
            </w:r>
          </w:p>
        </w:tc>
        <w:tc>
          <w:tcPr>
            <w:tcW w:w="13640" w:type="dxa"/>
            <w:hideMark/>
          </w:tcPr>
          <w:p w14:paraId="2B881393" w14:textId="77777777" w:rsidR="00ED3918" w:rsidRPr="00ED3918" w:rsidRDefault="00ED3918" w:rsidP="00ED3918">
            <w:r w:rsidRPr="00ED3918">
              <w:t xml:space="preserve">Prevalence and risk factors of WMSDs among dentists (2024). </w:t>
            </w:r>
            <w:r w:rsidRPr="00D131B4">
              <w:t>BMC Musculoskeletal Disorders</w:t>
            </w:r>
            <w:r w:rsidRPr="00ED3918">
              <w:t xml:space="preserve">. </w:t>
            </w:r>
          </w:p>
        </w:tc>
      </w:tr>
      <w:tr w:rsidR="00ED3918" w:rsidRPr="00ED3918" w14:paraId="13B450D5" w14:textId="77777777" w:rsidTr="00ED3918">
        <w:trPr>
          <w:trHeight w:val="290"/>
        </w:trPr>
        <w:tc>
          <w:tcPr>
            <w:tcW w:w="960" w:type="dxa"/>
            <w:noWrap/>
            <w:hideMark/>
          </w:tcPr>
          <w:p w14:paraId="74CC46C7" w14:textId="77777777" w:rsidR="00ED3918" w:rsidRPr="00ED3918" w:rsidRDefault="00ED3918" w:rsidP="00ED3918">
            <w:r w:rsidRPr="00ED3918">
              <w:t>[42]</w:t>
            </w:r>
          </w:p>
        </w:tc>
        <w:tc>
          <w:tcPr>
            <w:tcW w:w="13640" w:type="dxa"/>
            <w:hideMark/>
          </w:tcPr>
          <w:p w14:paraId="5BC445BD" w14:textId="77777777" w:rsidR="00ED3918" w:rsidRPr="00ED3918" w:rsidRDefault="00ED3918" w:rsidP="00ED3918">
            <w:r w:rsidRPr="00ED3918">
              <w:t xml:space="preserve">Psychosocial factors and upper limb disorders (2024). </w:t>
            </w:r>
            <w:r w:rsidRPr="00D131B4">
              <w:t>International Archives of Occupational and Environmental Health</w:t>
            </w:r>
            <w:r w:rsidRPr="00ED3918">
              <w:t xml:space="preserve">. </w:t>
            </w:r>
          </w:p>
        </w:tc>
      </w:tr>
      <w:tr w:rsidR="00ED3918" w:rsidRPr="00ED3918" w14:paraId="0C27436B" w14:textId="77777777" w:rsidTr="00ED3918">
        <w:trPr>
          <w:trHeight w:val="290"/>
        </w:trPr>
        <w:tc>
          <w:tcPr>
            <w:tcW w:w="960" w:type="dxa"/>
            <w:noWrap/>
            <w:hideMark/>
          </w:tcPr>
          <w:p w14:paraId="078DC7CF" w14:textId="77777777" w:rsidR="00ED3918" w:rsidRPr="00ED3918" w:rsidRDefault="00ED3918" w:rsidP="00ED3918">
            <w:r w:rsidRPr="00ED3918">
              <w:t>[43]</w:t>
            </w:r>
          </w:p>
        </w:tc>
        <w:tc>
          <w:tcPr>
            <w:tcW w:w="13640" w:type="dxa"/>
            <w:hideMark/>
          </w:tcPr>
          <w:p w14:paraId="65370E2A" w14:textId="77777777" w:rsidR="00ED3918" w:rsidRPr="00ED3918" w:rsidRDefault="00ED3918" w:rsidP="00ED3918">
            <w:r w:rsidRPr="00ED3918">
              <w:t xml:space="preserve">Effectiveness of sit-stand desks meta-analysis (2025). </w:t>
            </w:r>
            <w:r w:rsidRPr="00D131B4">
              <w:t>Applied Ergonomics</w:t>
            </w:r>
            <w:r w:rsidRPr="00ED3918">
              <w:t xml:space="preserve">. </w:t>
            </w:r>
          </w:p>
        </w:tc>
      </w:tr>
      <w:tr w:rsidR="00ED3918" w:rsidRPr="00ED3918" w14:paraId="08CEB199" w14:textId="77777777" w:rsidTr="00ED3918">
        <w:trPr>
          <w:trHeight w:val="290"/>
        </w:trPr>
        <w:tc>
          <w:tcPr>
            <w:tcW w:w="960" w:type="dxa"/>
            <w:noWrap/>
            <w:hideMark/>
          </w:tcPr>
          <w:p w14:paraId="59521166" w14:textId="77777777" w:rsidR="00ED3918" w:rsidRPr="00ED3918" w:rsidRDefault="00ED3918" w:rsidP="00ED3918">
            <w:r w:rsidRPr="00ED3918">
              <w:t>[44]</w:t>
            </w:r>
          </w:p>
        </w:tc>
        <w:tc>
          <w:tcPr>
            <w:tcW w:w="13640" w:type="dxa"/>
            <w:hideMark/>
          </w:tcPr>
          <w:p w14:paraId="3C72525E" w14:textId="77777777" w:rsidR="00ED3918" w:rsidRPr="00ED3918" w:rsidRDefault="00ED3918" w:rsidP="00ED3918">
            <w:r w:rsidRPr="00ED3918">
              <w:t xml:space="preserve">Noise exposure and musculoskeletal complaints (2024). </w:t>
            </w:r>
            <w:r w:rsidRPr="00D131B4">
              <w:t>Journal of Occupational Health</w:t>
            </w:r>
            <w:r w:rsidRPr="00ED3918">
              <w:t xml:space="preserve">. </w:t>
            </w:r>
          </w:p>
        </w:tc>
      </w:tr>
      <w:tr w:rsidR="00ED3918" w:rsidRPr="00ED3918" w14:paraId="39A86EE8" w14:textId="77777777" w:rsidTr="00ED3918">
        <w:trPr>
          <w:trHeight w:val="290"/>
        </w:trPr>
        <w:tc>
          <w:tcPr>
            <w:tcW w:w="960" w:type="dxa"/>
            <w:noWrap/>
            <w:hideMark/>
          </w:tcPr>
          <w:p w14:paraId="7C7FFF10" w14:textId="77777777" w:rsidR="00ED3918" w:rsidRPr="00ED3918" w:rsidRDefault="00ED3918" w:rsidP="00ED3918">
            <w:r w:rsidRPr="00ED3918">
              <w:t>[45]</w:t>
            </w:r>
          </w:p>
        </w:tc>
        <w:tc>
          <w:tcPr>
            <w:tcW w:w="13640" w:type="dxa"/>
            <w:hideMark/>
          </w:tcPr>
          <w:p w14:paraId="556909C3" w14:textId="77777777" w:rsidR="00ED3918" w:rsidRPr="00ED3918" w:rsidRDefault="00ED3918" w:rsidP="00ED3918">
            <w:r w:rsidRPr="00ED3918">
              <w:t xml:space="preserve">Thermal stress and ergonomic risks in outdoor work (2025). </w:t>
            </w:r>
            <w:r w:rsidRPr="00D131B4">
              <w:t>International Journal of Environmental Research and Public Health</w:t>
            </w:r>
            <w:r w:rsidRPr="00ED3918">
              <w:t xml:space="preserve">. </w:t>
            </w:r>
          </w:p>
        </w:tc>
      </w:tr>
      <w:tr w:rsidR="00ED3918" w:rsidRPr="00ED3918" w14:paraId="65CA00DB" w14:textId="77777777" w:rsidTr="00ED3918">
        <w:trPr>
          <w:trHeight w:val="290"/>
        </w:trPr>
        <w:tc>
          <w:tcPr>
            <w:tcW w:w="960" w:type="dxa"/>
            <w:noWrap/>
            <w:hideMark/>
          </w:tcPr>
          <w:p w14:paraId="0DB397CC" w14:textId="77777777" w:rsidR="00ED3918" w:rsidRPr="00ED3918" w:rsidRDefault="00ED3918" w:rsidP="00ED3918">
            <w:r w:rsidRPr="00ED3918">
              <w:t>[46]</w:t>
            </w:r>
          </w:p>
        </w:tc>
        <w:tc>
          <w:tcPr>
            <w:tcW w:w="13640" w:type="dxa"/>
            <w:hideMark/>
          </w:tcPr>
          <w:p w14:paraId="3DD31499" w14:textId="77777777" w:rsidR="00ED3918" w:rsidRPr="00ED3918" w:rsidRDefault="00ED3918" w:rsidP="00ED3918">
            <w:r w:rsidRPr="00ED3918">
              <w:t xml:space="preserve">Participatory ergonomics in manufacturing (2025). </w:t>
            </w:r>
            <w:r w:rsidRPr="00D131B4">
              <w:t>Human Factors</w:t>
            </w:r>
            <w:r w:rsidRPr="00ED3918">
              <w:t xml:space="preserve">. </w:t>
            </w:r>
          </w:p>
        </w:tc>
      </w:tr>
      <w:tr w:rsidR="00ED3918" w:rsidRPr="00ED3918" w14:paraId="5507A81E" w14:textId="77777777" w:rsidTr="00ED3918">
        <w:trPr>
          <w:trHeight w:val="290"/>
        </w:trPr>
        <w:tc>
          <w:tcPr>
            <w:tcW w:w="960" w:type="dxa"/>
            <w:noWrap/>
            <w:hideMark/>
          </w:tcPr>
          <w:p w14:paraId="118FB225" w14:textId="77777777" w:rsidR="00ED3918" w:rsidRPr="00ED3918" w:rsidRDefault="00ED3918" w:rsidP="00ED3918">
            <w:r w:rsidRPr="00ED3918">
              <w:t>[47]</w:t>
            </w:r>
          </w:p>
        </w:tc>
        <w:tc>
          <w:tcPr>
            <w:tcW w:w="13640" w:type="dxa"/>
            <w:hideMark/>
          </w:tcPr>
          <w:p w14:paraId="50B1EE16" w14:textId="77777777" w:rsidR="00ED3918" w:rsidRPr="00ED3918" w:rsidRDefault="00ED3918" w:rsidP="00ED3918">
            <w:r w:rsidRPr="00ED3918">
              <w:t xml:space="preserve">Cognitive load and neck pain in office workers (2024). </w:t>
            </w:r>
            <w:r w:rsidRPr="00D131B4">
              <w:t>Ergonomics</w:t>
            </w:r>
            <w:r w:rsidRPr="00ED3918">
              <w:t xml:space="preserve">. </w:t>
            </w:r>
          </w:p>
        </w:tc>
      </w:tr>
      <w:tr w:rsidR="00ED3918" w:rsidRPr="00ED3918" w14:paraId="7A841003" w14:textId="77777777" w:rsidTr="00ED3918">
        <w:trPr>
          <w:trHeight w:val="290"/>
        </w:trPr>
        <w:tc>
          <w:tcPr>
            <w:tcW w:w="960" w:type="dxa"/>
            <w:noWrap/>
            <w:hideMark/>
          </w:tcPr>
          <w:p w14:paraId="21C976D8" w14:textId="77777777" w:rsidR="00ED3918" w:rsidRPr="00ED3918" w:rsidRDefault="00ED3918" w:rsidP="00ED3918">
            <w:r w:rsidRPr="00ED3918">
              <w:t>[48]</w:t>
            </w:r>
          </w:p>
        </w:tc>
        <w:tc>
          <w:tcPr>
            <w:tcW w:w="13640" w:type="dxa"/>
            <w:hideMark/>
          </w:tcPr>
          <w:p w14:paraId="48E0FE2E" w14:textId="77777777" w:rsidR="00ED3918" w:rsidRPr="00ED3918" w:rsidRDefault="00ED3918" w:rsidP="00ED3918">
            <w:r w:rsidRPr="00ED3918">
              <w:t xml:space="preserve">Hybrid work and musculoskeletal health (2025). </w:t>
            </w:r>
            <w:r w:rsidRPr="00D131B4">
              <w:t>Journal of Occupational Rehabilitation</w:t>
            </w:r>
            <w:r w:rsidRPr="00ED3918">
              <w:t xml:space="preserve">. </w:t>
            </w:r>
          </w:p>
        </w:tc>
      </w:tr>
      <w:tr w:rsidR="00ED3918" w:rsidRPr="00ED3918" w14:paraId="33254940" w14:textId="77777777" w:rsidTr="00ED3918">
        <w:trPr>
          <w:trHeight w:val="290"/>
        </w:trPr>
        <w:tc>
          <w:tcPr>
            <w:tcW w:w="960" w:type="dxa"/>
            <w:noWrap/>
            <w:hideMark/>
          </w:tcPr>
          <w:p w14:paraId="3767331C" w14:textId="77777777" w:rsidR="00ED3918" w:rsidRPr="00ED3918" w:rsidRDefault="00ED3918" w:rsidP="00ED3918">
            <w:r w:rsidRPr="00ED3918">
              <w:t>[49]</w:t>
            </w:r>
          </w:p>
        </w:tc>
        <w:tc>
          <w:tcPr>
            <w:tcW w:w="13640" w:type="dxa"/>
            <w:hideMark/>
          </w:tcPr>
          <w:p w14:paraId="0D2081EE" w14:textId="77777777" w:rsidR="00ED3918" w:rsidRPr="00ED3918" w:rsidRDefault="00ED3918" w:rsidP="00ED3918">
            <w:r w:rsidRPr="00ED3918">
              <w:t xml:space="preserve">Economic impact of WMSDs global update (2025). </w:t>
            </w:r>
            <w:r w:rsidRPr="00D131B4">
              <w:t>The Lancet</w:t>
            </w:r>
            <w:r w:rsidRPr="00ED3918">
              <w:t xml:space="preserve">. </w:t>
            </w:r>
          </w:p>
        </w:tc>
      </w:tr>
      <w:tr w:rsidR="00ED3918" w:rsidRPr="00ED3918" w14:paraId="35B2B904" w14:textId="77777777" w:rsidTr="00ED3918">
        <w:trPr>
          <w:trHeight w:val="290"/>
        </w:trPr>
        <w:tc>
          <w:tcPr>
            <w:tcW w:w="960" w:type="dxa"/>
            <w:noWrap/>
            <w:hideMark/>
          </w:tcPr>
          <w:p w14:paraId="3877E229" w14:textId="77777777" w:rsidR="00ED3918" w:rsidRPr="00ED3918" w:rsidRDefault="00ED3918" w:rsidP="00ED3918">
            <w:r w:rsidRPr="00ED3918">
              <w:t>[50]</w:t>
            </w:r>
          </w:p>
        </w:tc>
        <w:tc>
          <w:tcPr>
            <w:tcW w:w="13640" w:type="dxa"/>
            <w:hideMark/>
          </w:tcPr>
          <w:p w14:paraId="6A2C046D" w14:textId="77777777" w:rsidR="00ED3918" w:rsidRPr="00ED3918" w:rsidRDefault="00ED3918" w:rsidP="00ED3918">
            <w:r w:rsidRPr="00ED3918">
              <w:t xml:space="preserve">AI-based ergonomic assessment tools (2025). </w:t>
            </w:r>
            <w:r w:rsidRPr="00D131B4">
              <w:t>JMIR Human Factors</w:t>
            </w:r>
            <w:r w:rsidRPr="00ED3918">
              <w:t xml:space="preserve">. </w:t>
            </w:r>
          </w:p>
        </w:tc>
      </w:tr>
      <w:tr w:rsidR="00ED3918" w:rsidRPr="00ED3918" w14:paraId="1D842730" w14:textId="77777777" w:rsidTr="00ED3918">
        <w:trPr>
          <w:trHeight w:val="290"/>
        </w:trPr>
        <w:tc>
          <w:tcPr>
            <w:tcW w:w="960" w:type="dxa"/>
            <w:noWrap/>
            <w:hideMark/>
          </w:tcPr>
          <w:p w14:paraId="2470AC1E" w14:textId="77777777" w:rsidR="00ED3918" w:rsidRPr="00ED3918" w:rsidRDefault="00ED3918" w:rsidP="00ED3918">
            <w:r w:rsidRPr="00ED3918">
              <w:t>[51]</w:t>
            </w:r>
          </w:p>
        </w:tc>
        <w:tc>
          <w:tcPr>
            <w:tcW w:w="13640" w:type="dxa"/>
            <w:hideMark/>
          </w:tcPr>
          <w:p w14:paraId="1187B053" w14:textId="77777777" w:rsidR="00ED3918" w:rsidRPr="00ED3918" w:rsidRDefault="00ED3918" w:rsidP="00ED3918">
            <w:r w:rsidRPr="00ED3918">
              <w:t xml:space="preserve">Virtual reality training for lifting techniques (2025). </w:t>
            </w:r>
            <w:r w:rsidRPr="00D131B4">
              <w:t>Applied Ergonomics</w:t>
            </w:r>
            <w:r w:rsidRPr="00ED3918">
              <w:t xml:space="preserve">. </w:t>
            </w:r>
          </w:p>
        </w:tc>
      </w:tr>
      <w:tr w:rsidR="00ED3918" w:rsidRPr="00ED3918" w14:paraId="2F982AD1" w14:textId="77777777" w:rsidTr="00ED3918">
        <w:trPr>
          <w:trHeight w:val="290"/>
        </w:trPr>
        <w:tc>
          <w:tcPr>
            <w:tcW w:w="960" w:type="dxa"/>
            <w:noWrap/>
            <w:hideMark/>
          </w:tcPr>
          <w:p w14:paraId="71E01767" w14:textId="77777777" w:rsidR="00ED3918" w:rsidRPr="00ED3918" w:rsidRDefault="00ED3918" w:rsidP="00ED3918">
            <w:r w:rsidRPr="00ED3918">
              <w:t>[52]</w:t>
            </w:r>
          </w:p>
        </w:tc>
        <w:tc>
          <w:tcPr>
            <w:tcW w:w="13640" w:type="dxa"/>
            <w:hideMark/>
          </w:tcPr>
          <w:p w14:paraId="3CEEC8BF" w14:textId="77777777" w:rsidR="00ED3918" w:rsidRPr="00ED3918" w:rsidRDefault="00ED3918" w:rsidP="00ED3918">
            <w:r w:rsidRPr="00ED3918">
              <w:t xml:space="preserve">Gender differences in WMSD reporting (2024). </w:t>
            </w:r>
            <w:r w:rsidRPr="00D131B4">
              <w:t>American Journal of Industrial Medicine</w:t>
            </w:r>
            <w:r w:rsidRPr="00ED3918">
              <w:t xml:space="preserve">. </w:t>
            </w:r>
          </w:p>
        </w:tc>
      </w:tr>
      <w:tr w:rsidR="00ED3918" w:rsidRPr="00ED3918" w14:paraId="5F114BC3" w14:textId="77777777" w:rsidTr="00ED3918">
        <w:trPr>
          <w:trHeight w:val="290"/>
        </w:trPr>
        <w:tc>
          <w:tcPr>
            <w:tcW w:w="960" w:type="dxa"/>
            <w:noWrap/>
            <w:hideMark/>
          </w:tcPr>
          <w:p w14:paraId="7BAF6F2F" w14:textId="77777777" w:rsidR="00ED3918" w:rsidRPr="00ED3918" w:rsidRDefault="00ED3918" w:rsidP="00ED3918">
            <w:r w:rsidRPr="00ED3918">
              <w:t>[53]</w:t>
            </w:r>
          </w:p>
        </w:tc>
        <w:tc>
          <w:tcPr>
            <w:tcW w:w="13640" w:type="dxa"/>
            <w:hideMark/>
          </w:tcPr>
          <w:p w14:paraId="1449676C" w14:textId="77777777" w:rsidR="00ED3918" w:rsidRPr="00ED3918" w:rsidRDefault="00ED3918" w:rsidP="00ED3918">
            <w:r w:rsidRPr="00ED3918">
              <w:t xml:space="preserve">Climate change and occupational heat stress ergonomics (2025). </w:t>
            </w:r>
            <w:r w:rsidRPr="00D131B4">
              <w:t>Theoretical Issues in Ergonomics Science</w:t>
            </w:r>
            <w:r w:rsidRPr="00ED3918">
              <w:t xml:space="preserve">. </w:t>
            </w:r>
          </w:p>
        </w:tc>
      </w:tr>
      <w:tr w:rsidR="00ED3918" w:rsidRPr="00ED3918" w14:paraId="757BCAE1" w14:textId="77777777" w:rsidTr="00ED3918">
        <w:trPr>
          <w:trHeight w:val="290"/>
        </w:trPr>
        <w:tc>
          <w:tcPr>
            <w:tcW w:w="960" w:type="dxa"/>
            <w:noWrap/>
            <w:hideMark/>
          </w:tcPr>
          <w:p w14:paraId="35945427" w14:textId="77777777" w:rsidR="00ED3918" w:rsidRPr="00ED3918" w:rsidRDefault="00ED3918" w:rsidP="00ED3918">
            <w:r w:rsidRPr="00ED3918">
              <w:t>[54]</w:t>
            </w:r>
          </w:p>
        </w:tc>
        <w:tc>
          <w:tcPr>
            <w:tcW w:w="13640" w:type="dxa"/>
            <w:hideMark/>
          </w:tcPr>
          <w:p w14:paraId="166D2D9E" w14:textId="77777777" w:rsidR="00ED3918" w:rsidRPr="00ED3918" w:rsidRDefault="00ED3918" w:rsidP="00ED3918">
            <w:r w:rsidRPr="00ED3918">
              <w:t xml:space="preserve">Standardization of REBA and RULA tools (2024). </w:t>
            </w:r>
            <w:r w:rsidRPr="00D131B4">
              <w:t>International Journal of Industrial Ergonomics</w:t>
            </w:r>
            <w:r w:rsidRPr="00ED3918">
              <w:t xml:space="preserve">. </w:t>
            </w:r>
          </w:p>
        </w:tc>
      </w:tr>
      <w:tr w:rsidR="00ED3918" w:rsidRPr="00ED3918" w14:paraId="6B1CDADF" w14:textId="77777777" w:rsidTr="00ED3918">
        <w:trPr>
          <w:trHeight w:val="290"/>
        </w:trPr>
        <w:tc>
          <w:tcPr>
            <w:tcW w:w="960" w:type="dxa"/>
            <w:noWrap/>
            <w:hideMark/>
          </w:tcPr>
          <w:p w14:paraId="29231AB1" w14:textId="77777777" w:rsidR="00ED3918" w:rsidRPr="00ED3918" w:rsidRDefault="00ED3918" w:rsidP="00ED3918">
            <w:r w:rsidRPr="00ED3918">
              <w:t>[55]</w:t>
            </w:r>
          </w:p>
        </w:tc>
        <w:tc>
          <w:tcPr>
            <w:tcW w:w="13640" w:type="dxa"/>
            <w:hideMark/>
          </w:tcPr>
          <w:p w14:paraId="42C3C301" w14:textId="77777777" w:rsidR="00ED3918" w:rsidRPr="00ED3918" w:rsidRDefault="00ED3918" w:rsidP="00ED3918">
            <w:r w:rsidRPr="00ED3918">
              <w:t xml:space="preserve">Long-term effects of ergonomic training (2025). </w:t>
            </w:r>
            <w:r w:rsidRPr="00D131B4">
              <w:t>Journal of Safety Research</w:t>
            </w:r>
            <w:r w:rsidRPr="00ED3918">
              <w:t xml:space="preserve">. </w:t>
            </w:r>
          </w:p>
        </w:tc>
      </w:tr>
      <w:tr w:rsidR="00ED3918" w:rsidRPr="00ED3918" w14:paraId="6758496B" w14:textId="77777777" w:rsidTr="00ED3918">
        <w:trPr>
          <w:trHeight w:val="290"/>
        </w:trPr>
        <w:tc>
          <w:tcPr>
            <w:tcW w:w="960" w:type="dxa"/>
            <w:noWrap/>
            <w:hideMark/>
          </w:tcPr>
          <w:p w14:paraId="4D05913A" w14:textId="77777777" w:rsidR="00ED3918" w:rsidRPr="00ED3918" w:rsidRDefault="00ED3918" w:rsidP="00ED3918">
            <w:r w:rsidRPr="00ED3918">
              <w:t>[56]</w:t>
            </w:r>
          </w:p>
        </w:tc>
        <w:tc>
          <w:tcPr>
            <w:tcW w:w="13640" w:type="dxa"/>
            <w:hideMark/>
          </w:tcPr>
          <w:p w14:paraId="69A12D6B" w14:textId="77777777" w:rsidR="00ED3918" w:rsidRPr="00ED3918" w:rsidRDefault="00ED3918" w:rsidP="00ED3918">
            <w:r w:rsidRPr="00ED3918">
              <w:t xml:space="preserve">Burnout and musculoskeletal pain pathways (2024). </w:t>
            </w:r>
            <w:r w:rsidRPr="00D131B4">
              <w:t>Psychosomatic Medicine</w:t>
            </w:r>
            <w:r w:rsidRPr="00ED3918">
              <w:t xml:space="preserve">. </w:t>
            </w:r>
          </w:p>
        </w:tc>
      </w:tr>
      <w:tr w:rsidR="00ED3918" w:rsidRPr="00ED3918" w14:paraId="641BEB42" w14:textId="77777777" w:rsidTr="00ED3918">
        <w:trPr>
          <w:trHeight w:val="290"/>
        </w:trPr>
        <w:tc>
          <w:tcPr>
            <w:tcW w:w="960" w:type="dxa"/>
            <w:noWrap/>
            <w:hideMark/>
          </w:tcPr>
          <w:p w14:paraId="41058F1F" w14:textId="77777777" w:rsidR="00ED3918" w:rsidRPr="00ED3918" w:rsidRDefault="00ED3918" w:rsidP="00ED3918">
            <w:r w:rsidRPr="00ED3918">
              <w:t>[57]</w:t>
            </w:r>
          </w:p>
        </w:tc>
        <w:tc>
          <w:tcPr>
            <w:tcW w:w="13640" w:type="dxa"/>
            <w:hideMark/>
          </w:tcPr>
          <w:p w14:paraId="0D507EC4" w14:textId="77777777" w:rsidR="00ED3918" w:rsidRPr="00ED3918" w:rsidRDefault="00ED3918" w:rsidP="00ED3918">
            <w:r w:rsidRPr="00ED3918">
              <w:t xml:space="preserve">Multifactorial risk models for WMSDs (2025). </w:t>
            </w:r>
            <w:r w:rsidRPr="00D131B4">
              <w:t>Scientific Reports</w:t>
            </w:r>
            <w:r w:rsidRPr="00ED3918">
              <w:t xml:space="preserve">. </w:t>
            </w:r>
          </w:p>
        </w:tc>
      </w:tr>
      <w:tr w:rsidR="00ED3918" w:rsidRPr="00ED3918" w14:paraId="7D581948" w14:textId="77777777" w:rsidTr="00ED3918">
        <w:trPr>
          <w:trHeight w:val="290"/>
        </w:trPr>
        <w:tc>
          <w:tcPr>
            <w:tcW w:w="960" w:type="dxa"/>
            <w:noWrap/>
            <w:hideMark/>
          </w:tcPr>
          <w:p w14:paraId="1E1D3CD0" w14:textId="77777777" w:rsidR="00ED3918" w:rsidRPr="00ED3918" w:rsidRDefault="00ED3918" w:rsidP="00ED3918">
            <w:r w:rsidRPr="00ED3918">
              <w:t>[58]</w:t>
            </w:r>
          </w:p>
        </w:tc>
        <w:tc>
          <w:tcPr>
            <w:tcW w:w="13640" w:type="dxa"/>
            <w:hideMark/>
          </w:tcPr>
          <w:p w14:paraId="62B2B860" w14:textId="77777777" w:rsidR="00ED3918" w:rsidRPr="00ED3918" w:rsidRDefault="00ED3918" w:rsidP="00ED3918">
            <w:r w:rsidRPr="00ED3918">
              <w:t xml:space="preserve">Remote work ergonomics guidelines post-pandemic (2025). </w:t>
            </w:r>
            <w:r w:rsidRPr="00D131B4">
              <w:t>Occupational Medicine</w:t>
            </w:r>
            <w:r w:rsidRPr="00ED3918">
              <w:t xml:space="preserve">. </w:t>
            </w:r>
          </w:p>
        </w:tc>
      </w:tr>
      <w:tr w:rsidR="00ED3918" w:rsidRPr="00ED3918" w14:paraId="091B976B" w14:textId="77777777" w:rsidTr="00ED3918">
        <w:trPr>
          <w:trHeight w:val="290"/>
        </w:trPr>
        <w:tc>
          <w:tcPr>
            <w:tcW w:w="960" w:type="dxa"/>
            <w:noWrap/>
            <w:hideMark/>
          </w:tcPr>
          <w:p w14:paraId="37CEDA44" w14:textId="77777777" w:rsidR="00ED3918" w:rsidRPr="00ED3918" w:rsidRDefault="00ED3918" w:rsidP="00ED3918">
            <w:r w:rsidRPr="00ED3918">
              <w:t>[59]</w:t>
            </w:r>
          </w:p>
        </w:tc>
        <w:tc>
          <w:tcPr>
            <w:tcW w:w="13640" w:type="dxa"/>
            <w:hideMark/>
          </w:tcPr>
          <w:p w14:paraId="159826F7" w14:textId="77777777" w:rsidR="00ED3918" w:rsidRPr="00ED3918" w:rsidRDefault="00ED3918" w:rsidP="00ED3918">
            <w:r w:rsidRPr="00ED3918">
              <w:t xml:space="preserve">Equity in ergonomic interventions (2025). </w:t>
            </w:r>
            <w:r w:rsidRPr="00D131B4">
              <w:t>Frontiers in Public Health</w:t>
            </w:r>
            <w:r w:rsidRPr="00ED3918">
              <w:t xml:space="preserve">. </w:t>
            </w:r>
          </w:p>
        </w:tc>
      </w:tr>
      <w:tr w:rsidR="00ED3918" w:rsidRPr="00ED3918" w14:paraId="6BE75EE8" w14:textId="77777777" w:rsidTr="00ED3918">
        <w:trPr>
          <w:trHeight w:val="290"/>
        </w:trPr>
        <w:tc>
          <w:tcPr>
            <w:tcW w:w="960" w:type="dxa"/>
            <w:noWrap/>
            <w:hideMark/>
          </w:tcPr>
          <w:p w14:paraId="028C9481" w14:textId="77777777" w:rsidR="00ED3918" w:rsidRPr="00ED3918" w:rsidRDefault="00ED3918" w:rsidP="00ED3918">
            <w:r w:rsidRPr="00ED3918">
              <w:t>[60]</w:t>
            </w:r>
          </w:p>
        </w:tc>
        <w:tc>
          <w:tcPr>
            <w:tcW w:w="13640" w:type="dxa"/>
            <w:hideMark/>
          </w:tcPr>
          <w:p w14:paraId="6629C7EB" w14:textId="77777777" w:rsidR="00ED3918" w:rsidRPr="00ED3918" w:rsidRDefault="00ED3918" w:rsidP="00ED3918">
            <w:r w:rsidRPr="00ED3918">
              <w:t xml:space="preserve">Aging workforce and cognitive-physical interactions (2025). </w:t>
            </w:r>
            <w:r w:rsidRPr="00D131B4">
              <w:t>Human Factors and Ergonomics in Manufacturing &amp; Service Industries</w:t>
            </w:r>
            <w:r w:rsidRPr="00ED3918">
              <w:t xml:space="preserve">. </w:t>
            </w:r>
          </w:p>
        </w:tc>
      </w:tr>
      <w:tr w:rsidR="00ED3918" w:rsidRPr="00ED3918" w14:paraId="6F6D5C42" w14:textId="77777777" w:rsidTr="00ED3918">
        <w:trPr>
          <w:trHeight w:val="290"/>
        </w:trPr>
        <w:tc>
          <w:tcPr>
            <w:tcW w:w="960" w:type="dxa"/>
            <w:noWrap/>
            <w:hideMark/>
          </w:tcPr>
          <w:p w14:paraId="2630E7A3" w14:textId="77777777" w:rsidR="00ED3918" w:rsidRPr="00ED3918" w:rsidRDefault="00ED3918" w:rsidP="00ED3918">
            <w:r w:rsidRPr="00ED3918">
              <w:t>[61]</w:t>
            </w:r>
          </w:p>
        </w:tc>
        <w:tc>
          <w:tcPr>
            <w:tcW w:w="13640" w:type="dxa"/>
            <w:hideMark/>
          </w:tcPr>
          <w:p w14:paraId="3D332DB5" w14:textId="77777777" w:rsidR="00ED3918" w:rsidRPr="00ED3918" w:rsidRDefault="00ED3918" w:rsidP="00ED3918">
            <w:r w:rsidRPr="00ED3918">
              <w:t xml:space="preserve">Computer vision for posture monitoring (2025). </w:t>
            </w:r>
            <w:r w:rsidRPr="00D131B4">
              <w:t>Sensors</w:t>
            </w:r>
            <w:r w:rsidRPr="00ED3918">
              <w:t xml:space="preserve"> (MDPI). </w:t>
            </w:r>
          </w:p>
        </w:tc>
      </w:tr>
      <w:tr w:rsidR="00ED3918" w:rsidRPr="00ED3918" w14:paraId="4895E299" w14:textId="77777777" w:rsidTr="00ED3918">
        <w:trPr>
          <w:trHeight w:val="290"/>
        </w:trPr>
        <w:tc>
          <w:tcPr>
            <w:tcW w:w="960" w:type="dxa"/>
            <w:noWrap/>
            <w:hideMark/>
          </w:tcPr>
          <w:p w14:paraId="51793235" w14:textId="77777777" w:rsidR="00ED3918" w:rsidRPr="00ED3918" w:rsidRDefault="00ED3918" w:rsidP="00ED3918">
            <w:r w:rsidRPr="00ED3918">
              <w:t>[62]</w:t>
            </w:r>
          </w:p>
        </w:tc>
        <w:tc>
          <w:tcPr>
            <w:tcW w:w="13640" w:type="dxa"/>
            <w:hideMark/>
          </w:tcPr>
          <w:p w14:paraId="3187FA30" w14:textId="77777777" w:rsidR="00ED3918" w:rsidRPr="00ED3918" w:rsidRDefault="00ED3918" w:rsidP="00ED3918">
            <w:r w:rsidRPr="00ED3918">
              <w:t xml:space="preserve">Participatory macroergonomics in large organizations (2024). </w:t>
            </w:r>
            <w:r w:rsidRPr="00D131B4">
              <w:t>Applied Ergonomics</w:t>
            </w:r>
            <w:r w:rsidRPr="00ED3918">
              <w:t xml:space="preserve">. </w:t>
            </w:r>
          </w:p>
        </w:tc>
      </w:tr>
      <w:tr w:rsidR="00ED3918" w:rsidRPr="00ED3918" w14:paraId="75A94461" w14:textId="77777777" w:rsidTr="00ED3918">
        <w:trPr>
          <w:trHeight w:val="290"/>
        </w:trPr>
        <w:tc>
          <w:tcPr>
            <w:tcW w:w="960" w:type="dxa"/>
            <w:noWrap/>
            <w:hideMark/>
          </w:tcPr>
          <w:p w14:paraId="3922D549" w14:textId="77777777" w:rsidR="00ED3918" w:rsidRPr="00ED3918" w:rsidRDefault="00ED3918" w:rsidP="00ED3918">
            <w:r w:rsidRPr="00ED3918">
              <w:t>[63]</w:t>
            </w:r>
          </w:p>
        </w:tc>
        <w:tc>
          <w:tcPr>
            <w:tcW w:w="13640" w:type="dxa"/>
            <w:hideMark/>
          </w:tcPr>
          <w:p w14:paraId="085D12DC" w14:textId="77777777" w:rsidR="00ED3918" w:rsidRPr="00ED3918" w:rsidRDefault="00ED3918" w:rsidP="00ED3918">
            <w:r w:rsidRPr="00ED3918">
              <w:t xml:space="preserve">Mental health outcomes from poor ergonomics (2025). </w:t>
            </w:r>
            <w:r w:rsidRPr="00D131B4">
              <w:t>Journal of Occupational Health Psychology</w:t>
            </w:r>
            <w:r w:rsidRPr="00ED3918">
              <w:t xml:space="preserve">. </w:t>
            </w:r>
          </w:p>
        </w:tc>
      </w:tr>
      <w:tr w:rsidR="00ED3918" w:rsidRPr="00ED3918" w14:paraId="32E95EF7" w14:textId="77777777" w:rsidTr="00ED3918">
        <w:trPr>
          <w:trHeight w:val="290"/>
        </w:trPr>
        <w:tc>
          <w:tcPr>
            <w:tcW w:w="960" w:type="dxa"/>
            <w:noWrap/>
            <w:hideMark/>
          </w:tcPr>
          <w:p w14:paraId="79B141DC" w14:textId="77777777" w:rsidR="00ED3918" w:rsidRPr="00ED3918" w:rsidRDefault="00ED3918" w:rsidP="00ED3918">
            <w:r w:rsidRPr="00ED3918">
              <w:t>[64]</w:t>
            </w:r>
          </w:p>
        </w:tc>
        <w:tc>
          <w:tcPr>
            <w:tcW w:w="13640" w:type="dxa"/>
            <w:hideMark/>
          </w:tcPr>
          <w:p w14:paraId="2038823F" w14:textId="77777777" w:rsidR="00ED3918" w:rsidRPr="00ED3918" w:rsidRDefault="00ED3918" w:rsidP="00ED3918">
            <w:r w:rsidRPr="00ED3918">
              <w:t xml:space="preserve">Sustainable ergonomics framework (2025). </w:t>
            </w:r>
            <w:r w:rsidRPr="00D131B4">
              <w:t>Theoretical Issues in Ergonomics Science</w:t>
            </w:r>
            <w:r w:rsidRPr="00ED3918">
              <w:t xml:space="preserve">. </w:t>
            </w:r>
          </w:p>
        </w:tc>
      </w:tr>
      <w:tr w:rsidR="00ED3918" w:rsidRPr="00ED3918" w14:paraId="637E3D09" w14:textId="77777777" w:rsidTr="00ED3918">
        <w:trPr>
          <w:trHeight w:val="290"/>
        </w:trPr>
        <w:tc>
          <w:tcPr>
            <w:tcW w:w="960" w:type="dxa"/>
            <w:noWrap/>
            <w:hideMark/>
          </w:tcPr>
          <w:p w14:paraId="3DECE66C" w14:textId="77777777" w:rsidR="00ED3918" w:rsidRPr="00ED3918" w:rsidRDefault="00ED3918" w:rsidP="00ED3918">
            <w:r w:rsidRPr="00ED3918">
              <w:t>[65]</w:t>
            </w:r>
          </w:p>
        </w:tc>
        <w:tc>
          <w:tcPr>
            <w:tcW w:w="13640" w:type="dxa"/>
            <w:hideMark/>
          </w:tcPr>
          <w:p w14:paraId="44509C05" w14:textId="77777777" w:rsidR="00ED3918" w:rsidRPr="00ED3918" w:rsidRDefault="00ED3918" w:rsidP="00ED3918">
            <w:r w:rsidRPr="00ED3918">
              <w:t xml:space="preserve">Exoskeletons in industrial ergonomics (2025). </w:t>
            </w:r>
            <w:r w:rsidRPr="00D131B4">
              <w:t>Robotics and Computer-Integrated Manufacturing</w:t>
            </w:r>
            <w:r w:rsidRPr="00ED3918">
              <w:t xml:space="preserve">. </w:t>
            </w:r>
          </w:p>
        </w:tc>
      </w:tr>
      <w:tr w:rsidR="00ED3918" w:rsidRPr="00ED3918" w14:paraId="3C3FD0B7" w14:textId="77777777" w:rsidTr="00ED3918">
        <w:trPr>
          <w:trHeight w:val="290"/>
        </w:trPr>
        <w:tc>
          <w:tcPr>
            <w:tcW w:w="960" w:type="dxa"/>
            <w:noWrap/>
            <w:hideMark/>
          </w:tcPr>
          <w:p w14:paraId="7CF87E92" w14:textId="77777777" w:rsidR="00ED3918" w:rsidRPr="00ED3918" w:rsidRDefault="00ED3918" w:rsidP="00ED3918">
            <w:r w:rsidRPr="00ED3918">
              <w:t>[66]</w:t>
            </w:r>
          </w:p>
        </w:tc>
        <w:tc>
          <w:tcPr>
            <w:tcW w:w="13640" w:type="dxa"/>
            <w:hideMark/>
          </w:tcPr>
          <w:p w14:paraId="641CB45A" w14:textId="77777777" w:rsidR="00ED3918" w:rsidRPr="00ED3918" w:rsidRDefault="00ED3918" w:rsidP="00ED3918">
            <w:r w:rsidRPr="00ED3918">
              <w:t xml:space="preserve">Ergonomic risks in gig economy drivers (2024). </w:t>
            </w:r>
            <w:r w:rsidRPr="00D131B4">
              <w:t>International Journal of Environmental Research and Public Health</w:t>
            </w:r>
            <w:r w:rsidRPr="00ED3918">
              <w:t xml:space="preserve">. </w:t>
            </w:r>
          </w:p>
        </w:tc>
      </w:tr>
      <w:tr w:rsidR="00ED3918" w:rsidRPr="00ED3918" w14:paraId="484EA45F" w14:textId="77777777" w:rsidTr="00ED3918">
        <w:trPr>
          <w:trHeight w:val="290"/>
        </w:trPr>
        <w:tc>
          <w:tcPr>
            <w:tcW w:w="960" w:type="dxa"/>
            <w:noWrap/>
            <w:hideMark/>
          </w:tcPr>
          <w:p w14:paraId="7736C528" w14:textId="77777777" w:rsidR="00ED3918" w:rsidRPr="00ED3918" w:rsidRDefault="00ED3918" w:rsidP="00ED3918">
            <w:r w:rsidRPr="00ED3918">
              <w:t>[67]</w:t>
            </w:r>
          </w:p>
        </w:tc>
        <w:tc>
          <w:tcPr>
            <w:tcW w:w="13640" w:type="dxa"/>
            <w:hideMark/>
          </w:tcPr>
          <w:p w14:paraId="0B369715" w14:textId="77777777" w:rsidR="00ED3918" w:rsidRPr="00ED3918" w:rsidRDefault="00ED3918" w:rsidP="00ED3918">
            <w:r w:rsidRPr="00ED3918">
              <w:t xml:space="preserve">Lighting and visual fatigue in VDT work (2025). </w:t>
            </w:r>
            <w:r w:rsidRPr="00D131B4">
              <w:t>Lighting Research &amp; Technology</w:t>
            </w:r>
            <w:r w:rsidRPr="00ED3918">
              <w:t xml:space="preserve">. </w:t>
            </w:r>
          </w:p>
        </w:tc>
      </w:tr>
      <w:tr w:rsidR="00ED3918" w:rsidRPr="00ED3918" w14:paraId="3E130D8C" w14:textId="77777777" w:rsidTr="00ED3918">
        <w:trPr>
          <w:trHeight w:val="290"/>
        </w:trPr>
        <w:tc>
          <w:tcPr>
            <w:tcW w:w="960" w:type="dxa"/>
            <w:noWrap/>
            <w:hideMark/>
          </w:tcPr>
          <w:p w14:paraId="0C049CA4" w14:textId="77777777" w:rsidR="00ED3918" w:rsidRPr="00ED3918" w:rsidRDefault="00ED3918" w:rsidP="00ED3918">
            <w:r w:rsidRPr="00ED3918">
              <w:t>[68]</w:t>
            </w:r>
          </w:p>
        </w:tc>
        <w:tc>
          <w:tcPr>
            <w:tcW w:w="13640" w:type="dxa"/>
            <w:hideMark/>
          </w:tcPr>
          <w:p w14:paraId="27FA0809" w14:textId="77777777" w:rsidR="00ED3918" w:rsidRPr="00ED3918" w:rsidRDefault="00ED3918" w:rsidP="00ED3918">
            <w:r w:rsidRPr="00ED3918">
              <w:t xml:space="preserve">Organizational justice and WMSD recovery (2024). </w:t>
            </w:r>
            <w:r w:rsidRPr="00D131B4">
              <w:t>Work &amp; Stress</w:t>
            </w:r>
            <w:r w:rsidRPr="00ED3918">
              <w:t xml:space="preserve">. </w:t>
            </w:r>
          </w:p>
        </w:tc>
      </w:tr>
      <w:tr w:rsidR="00ED3918" w:rsidRPr="00ED3918" w14:paraId="4CD9EE72" w14:textId="77777777" w:rsidTr="00ED3918">
        <w:trPr>
          <w:trHeight w:val="290"/>
        </w:trPr>
        <w:tc>
          <w:tcPr>
            <w:tcW w:w="960" w:type="dxa"/>
            <w:noWrap/>
            <w:hideMark/>
          </w:tcPr>
          <w:p w14:paraId="7BFB8A40" w14:textId="77777777" w:rsidR="00ED3918" w:rsidRPr="00ED3918" w:rsidRDefault="00ED3918" w:rsidP="00ED3918">
            <w:r w:rsidRPr="00ED3918">
              <w:t>[69]</w:t>
            </w:r>
          </w:p>
        </w:tc>
        <w:tc>
          <w:tcPr>
            <w:tcW w:w="13640" w:type="dxa"/>
            <w:hideMark/>
          </w:tcPr>
          <w:p w14:paraId="7BF3A3A5" w14:textId="77777777" w:rsidR="00ED3918" w:rsidRPr="00ED3918" w:rsidRDefault="00ED3918" w:rsidP="00ED3918">
            <w:r w:rsidRPr="00ED3918">
              <w:t xml:space="preserve">Mobile apps for self-ergonomic assessment (2025). </w:t>
            </w:r>
            <w:r w:rsidRPr="00D131B4">
              <w:t>JMIR mHealth and uHealth</w:t>
            </w:r>
            <w:r w:rsidRPr="00ED3918">
              <w:t xml:space="preserve">. </w:t>
            </w:r>
          </w:p>
        </w:tc>
      </w:tr>
      <w:tr w:rsidR="00ED3918" w:rsidRPr="00ED3918" w14:paraId="0FDDFBEB" w14:textId="77777777" w:rsidTr="00ED3918">
        <w:trPr>
          <w:trHeight w:val="290"/>
        </w:trPr>
        <w:tc>
          <w:tcPr>
            <w:tcW w:w="960" w:type="dxa"/>
            <w:noWrap/>
            <w:hideMark/>
          </w:tcPr>
          <w:p w14:paraId="5F9D6ED8" w14:textId="77777777" w:rsidR="00ED3918" w:rsidRPr="00ED3918" w:rsidRDefault="00ED3918" w:rsidP="00ED3918">
            <w:r w:rsidRPr="00ED3918">
              <w:t>[70]</w:t>
            </w:r>
          </w:p>
        </w:tc>
        <w:tc>
          <w:tcPr>
            <w:tcW w:w="13640" w:type="dxa"/>
            <w:hideMark/>
          </w:tcPr>
          <w:p w14:paraId="35B22FBB" w14:textId="77777777" w:rsidR="00ED3918" w:rsidRPr="00ED3918" w:rsidRDefault="00ED3918" w:rsidP="00ED3918">
            <w:r w:rsidRPr="00ED3918">
              <w:t xml:space="preserve">Cross-cultural differences in WMSD prevalence (2025). </w:t>
            </w:r>
            <w:r w:rsidRPr="00D131B4">
              <w:t>Global Health Action</w:t>
            </w:r>
            <w:r w:rsidRPr="00ED3918">
              <w:t xml:space="preserve">. </w:t>
            </w:r>
          </w:p>
        </w:tc>
      </w:tr>
      <w:tr w:rsidR="00ED3918" w:rsidRPr="00ED3918" w14:paraId="7EBDE234" w14:textId="77777777" w:rsidTr="00ED3918">
        <w:trPr>
          <w:trHeight w:val="290"/>
        </w:trPr>
        <w:tc>
          <w:tcPr>
            <w:tcW w:w="960" w:type="dxa"/>
            <w:noWrap/>
            <w:hideMark/>
          </w:tcPr>
          <w:p w14:paraId="521617D3" w14:textId="77777777" w:rsidR="00ED3918" w:rsidRPr="00ED3918" w:rsidRDefault="00ED3918" w:rsidP="00ED3918">
            <w:r w:rsidRPr="00ED3918">
              <w:t>[71]</w:t>
            </w:r>
          </w:p>
        </w:tc>
        <w:tc>
          <w:tcPr>
            <w:tcW w:w="13640" w:type="dxa"/>
            <w:hideMark/>
          </w:tcPr>
          <w:p w14:paraId="349CCEFF" w14:textId="77777777" w:rsidR="00ED3918" w:rsidRPr="00ED3918" w:rsidRDefault="00ED3918" w:rsidP="00ED3918">
            <w:r w:rsidRPr="00ED3918">
              <w:t xml:space="preserve">Biomechanical modeling updates for low back pain (2025). </w:t>
            </w:r>
            <w:r w:rsidRPr="00D131B4">
              <w:t>Journal of Biomechanics</w:t>
            </w:r>
            <w:r w:rsidRPr="00ED3918">
              <w:t xml:space="preserve">. </w:t>
            </w:r>
          </w:p>
        </w:tc>
      </w:tr>
      <w:tr w:rsidR="00ED3918" w:rsidRPr="00ED3918" w14:paraId="1E85104C" w14:textId="77777777" w:rsidTr="00ED3918">
        <w:trPr>
          <w:trHeight w:val="290"/>
        </w:trPr>
        <w:tc>
          <w:tcPr>
            <w:tcW w:w="960" w:type="dxa"/>
            <w:noWrap/>
            <w:hideMark/>
          </w:tcPr>
          <w:p w14:paraId="559BCF5D" w14:textId="77777777" w:rsidR="00ED3918" w:rsidRPr="00ED3918" w:rsidRDefault="00ED3918" w:rsidP="00ED3918">
            <w:r w:rsidRPr="00ED3918">
              <w:t>[72]</w:t>
            </w:r>
          </w:p>
        </w:tc>
        <w:tc>
          <w:tcPr>
            <w:tcW w:w="13640" w:type="dxa"/>
            <w:hideMark/>
          </w:tcPr>
          <w:p w14:paraId="556F00F8" w14:textId="77777777" w:rsidR="00ED3918" w:rsidRPr="00ED3918" w:rsidRDefault="00ED3918" w:rsidP="00ED3918">
            <w:r w:rsidRPr="00ED3918">
              <w:t xml:space="preserve">Noise-induced stress and upper limb disorders (2024). </w:t>
            </w:r>
            <w:r w:rsidRPr="00D131B4">
              <w:t>International Archives of Occupational and Environmental Health</w:t>
            </w:r>
            <w:r w:rsidRPr="00ED3918">
              <w:t xml:space="preserve">. </w:t>
            </w:r>
          </w:p>
        </w:tc>
      </w:tr>
      <w:tr w:rsidR="00ED3918" w:rsidRPr="00ED3918" w14:paraId="6C05B8DF" w14:textId="77777777" w:rsidTr="00ED3918">
        <w:trPr>
          <w:trHeight w:val="290"/>
        </w:trPr>
        <w:tc>
          <w:tcPr>
            <w:tcW w:w="960" w:type="dxa"/>
            <w:noWrap/>
            <w:hideMark/>
          </w:tcPr>
          <w:p w14:paraId="71CF0428" w14:textId="77777777" w:rsidR="00ED3918" w:rsidRPr="00ED3918" w:rsidRDefault="00ED3918" w:rsidP="00ED3918">
            <w:r w:rsidRPr="00ED3918">
              <w:t>[73]</w:t>
            </w:r>
          </w:p>
        </w:tc>
        <w:tc>
          <w:tcPr>
            <w:tcW w:w="13640" w:type="dxa"/>
            <w:hideMark/>
          </w:tcPr>
          <w:p w14:paraId="2DDF567D" w14:textId="77777777" w:rsidR="00ED3918" w:rsidRPr="00ED3918" w:rsidRDefault="00ED3918" w:rsidP="00ED3918">
            <w:r w:rsidRPr="00ED3918">
              <w:t xml:space="preserve">Task rotation effectiveness meta-analysis (2025). </w:t>
            </w:r>
            <w:r w:rsidRPr="00D131B4">
              <w:t>Ergonomics</w:t>
            </w:r>
            <w:r w:rsidRPr="00ED3918">
              <w:t xml:space="preserve">. </w:t>
            </w:r>
          </w:p>
        </w:tc>
      </w:tr>
      <w:tr w:rsidR="00ED3918" w:rsidRPr="00ED3918" w14:paraId="142BD439" w14:textId="77777777" w:rsidTr="00ED3918">
        <w:trPr>
          <w:trHeight w:val="290"/>
        </w:trPr>
        <w:tc>
          <w:tcPr>
            <w:tcW w:w="960" w:type="dxa"/>
            <w:noWrap/>
            <w:hideMark/>
          </w:tcPr>
          <w:p w14:paraId="32923D72" w14:textId="77777777" w:rsidR="00ED3918" w:rsidRPr="00ED3918" w:rsidRDefault="00ED3918" w:rsidP="00ED3918">
            <w:r w:rsidRPr="00ED3918">
              <w:t>[74]</w:t>
            </w:r>
          </w:p>
        </w:tc>
        <w:tc>
          <w:tcPr>
            <w:tcW w:w="13640" w:type="dxa"/>
            <w:hideMark/>
          </w:tcPr>
          <w:p w14:paraId="2F4C10C3" w14:textId="77777777" w:rsidR="00ED3918" w:rsidRPr="00ED3918" w:rsidRDefault="00ED3918" w:rsidP="00ED3918">
            <w:r w:rsidRPr="00ED3918">
              <w:t xml:space="preserve">Social support buffering in high-demand jobs (2024). </w:t>
            </w:r>
            <w:r w:rsidRPr="00D131B4">
              <w:t>Journal of Occupational Health Psychology</w:t>
            </w:r>
            <w:r w:rsidRPr="00ED3918">
              <w:t xml:space="preserve">. </w:t>
            </w:r>
          </w:p>
        </w:tc>
      </w:tr>
      <w:tr w:rsidR="00ED3918" w:rsidRPr="00ED3918" w14:paraId="050221DE" w14:textId="77777777" w:rsidTr="00ED3918">
        <w:trPr>
          <w:trHeight w:val="290"/>
        </w:trPr>
        <w:tc>
          <w:tcPr>
            <w:tcW w:w="960" w:type="dxa"/>
            <w:noWrap/>
            <w:hideMark/>
          </w:tcPr>
          <w:p w14:paraId="707937D7" w14:textId="77777777" w:rsidR="00ED3918" w:rsidRPr="00ED3918" w:rsidRDefault="00ED3918" w:rsidP="00ED3918">
            <w:r w:rsidRPr="00ED3918">
              <w:t>[75]</w:t>
            </w:r>
          </w:p>
        </w:tc>
        <w:tc>
          <w:tcPr>
            <w:tcW w:w="13640" w:type="dxa"/>
            <w:hideMark/>
          </w:tcPr>
          <w:p w14:paraId="75602897" w14:textId="77777777" w:rsidR="00ED3918" w:rsidRPr="00ED3918" w:rsidRDefault="00ED3918" w:rsidP="00ED3918">
            <w:r w:rsidRPr="00ED3918">
              <w:t xml:space="preserve">Future of work: Automation and human factors (2025). </w:t>
            </w:r>
            <w:r w:rsidRPr="00D131B4">
              <w:t>Human Factors</w:t>
            </w:r>
            <w:r w:rsidRPr="00ED3918">
              <w:t xml:space="preserve">. </w:t>
            </w:r>
          </w:p>
        </w:tc>
      </w:tr>
      <w:tr w:rsidR="00ED3918" w:rsidRPr="00ED3918" w14:paraId="5C511751" w14:textId="77777777" w:rsidTr="00ED3918">
        <w:trPr>
          <w:trHeight w:val="290"/>
        </w:trPr>
        <w:tc>
          <w:tcPr>
            <w:tcW w:w="960" w:type="dxa"/>
            <w:noWrap/>
            <w:hideMark/>
          </w:tcPr>
          <w:p w14:paraId="3DDA029D" w14:textId="77777777" w:rsidR="00ED3918" w:rsidRPr="00ED3918" w:rsidRDefault="00ED3918" w:rsidP="00ED3918">
            <w:r w:rsidRPr="00ED3918">
              <w:t>[76]</w:t>
            </w:r>
          </w:p>
        </w:tc>
        <w:tc>
          <w:tcPr>
            <w:tcW w:w="13640" w:type="dxa"/>
            <w:hideMark/>
          </w:tcPr>
          <w:p w14:paraId="6FA30704" w14:textId="77777777" w:rsidR="00ED3918" w:rsidRPr="00ED3918" w:rsidRDefault="00ED3918" w:rsidP="00ED3918">
            <w:r w:rsidRPr="00ED3918">
              <w:t xml:space="preserve">Inclusive design for diverse body sizes in workstations (2025). </w:t>
            </w:r>
            <w:r w:rsidRPr="00D131B4">
              <w:t>Applied Ergonomics</w:t>
            </w:r>
            <w:r w:rsidRPr="00ED3918">
              <w:t xml:space="preserve">. </w:t>
            </w:r>
          </w:p>
        </w:tc>
      </w:tr>
      <w:tr w:rsidR="00ED3918" w:rsidRPr="00ED3918" w14:paraId="4214D8AE" w14:textId="77777777" w:rsidTr="00ED3918">
        <w:trPr>
          <w:trHeight w:val="290"/>
        </w:trPr>
        <w:tc>
          <w:tcPr>
            <w:tcW w:w="960" w:type="dxa"/>
            <w:noWrap/>
            <w:hideMark/>
          </w:tcPr>
          <w:p w14:paraId="2DF869CD" w14:textId="77777777" w:rsidR="00ED3918" w:rsidRPr="00ED3918" w:rsidRDefault="00ED3918" w:rsidP="00ED3918">
            <w:r w:rsidRPr="00ED3918">
              <w:t>[77]</w:t>
            </w:r>
          </w:p>
        </w:tc>
        <w:tc>
          <w:tcPr>
            <w:tcW w:w="13640" w:type="dxa"/>
            <w:hideMark/>
          </w:tcPr>
          <w:p w14:paraId="2DFF9C1D" w14:textId="77777777" w:rsidR="00ED3918" w:rsidRPr="00ED3918" w:rsidRDefault="00ED3918" w:rsidP="00ED3918">
            <w:r w:rsidRPr="00ED3918">
              <w:t>Global priorities for occupational musculoskeletal health (2025). World Health Organization / ILO joint report.</w:t>
            </w:r>
          </w:p>
        </w:tc>
      </w:tr>
      <w:bookmarkEnd w:id="1"/>
    </w:tbl>
    <w:p w14:paraId="53A5B404" w14:textId="77777777" w:rsidR="00C81986" w:rsidRPr="00C81986" w:rsidRDefault="00C81986" w:rsidP="00C81986"/>
    <w:sectPr w:rsidR="00C81986" w:rsidRPr="00C81986" w:rsidSect="00C81986">
      <w:headerReference w:type="default" r:id="rId22"/>
      <w:footerReference w:type="even" r:id="rId23"/>
      <w:footerReference w:type="default" r:id="rId24"/>
      <w:type w:val="continuous"/>
      <w:pgSz w:w="11907" w:h="16840"/>
      <w:pgMar w:top="1418" w:right="1418" w:bottom="1418"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070F7" w14:textId="77777777" w:rsidR="005D6B00" w:rsidRDefault="005D6B00">
      <w:r>
        <w:separator/>
      </w:r>
    </w:p>
  </w:endnote>
  <w:endnote w:type="continuationSeparator" w:id="0">
    <w:p w14:paraId="1955EBB7" w14:textId="77777777" w:rsidR="005D6B00" w:rsidRDefault="005D6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2116" w14:textId="48577AEF"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3C5DA" w14:textId="77777777" w:rsidR="005D6B00" w:rsidRDefault="005D6B00" w:rsidP="0010114F">
      <w:pPr>
        <w:bidi/>
      </w:pPr>
      <w:r>
        <w:separator/>
      </w:r>
    </w:p>
  </w:footnote>
  <w:footnote w:type="continuationSeparator" w:id="0">
    <w:p w14:paraId="63E0A975" w14:textId="77777777" w:rsidR="005D6B00" w:rsidRDefault="005D6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0E6D" w14:textId="07F36AE0" w:rsidR="00931BA1" w:rsidRDefault="008A6A64" w:rsidP="00AA30C4">
    <w:pPr>
      <w:pStyle w:val="Header"/>
    </w:pPr>
    <w:r w:rsidRPr="008A6A64">
      <w:rPr>
        <w:noProof/>
        <w:rtl/>
      </w:rPr>
      <w:drawing>
        <wp:anchor distT="0" distB="0" distL="114300" distR="114300" simplePos="0" relativeHeight="251658240" behindDoc="1" locked="0" layoutInCell="1" allowOverlap="1" wp14:anchorId="2057D1F1" wp14:editId="7895E503">
          <wp:simplePos x="0" y="0"/>
          <wp:positionH relativeFrom="page">
            <wp:align>right</wp:align>
          </wp:positionH>
          <wp:positionV relativeFrom="paragraph">
            <wp:posOffset>-221615</wp:posOffset>
          </wp:positionV>
          <wp:extent cx="5940425" cy="771525"/>
          <wp:effectExtent l="0" t="0" r="3175" b="9525"/>
          <wp:wrapTight wrapText="bothSides">
            <wp:wrapPolygon edited="0">
              <wp:start x="0" y="0"/>
              <wp:lineTo x="0" y="21333"/>
              <wp:lineTo x="21542" y="21333"/>
              <wp:lineTo x="21542" y="0"/>
              <wp:lineTo x="0" y="0"/>
            </wp:wrapPolygon>
          </wp:wrapTight>
          <wp:docPr id="30261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64F09D2"/>
    <w:multiLevelType w:val="hybridMultilevel"/>
    <w:tmpl w:val="DD7208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7"/>
  </w:num>
  <w:num w:numId="2" w16cid:durableId="1736972300">
    <w:abstractNumId w:val="4"/>
  </w:num>
  <w:num w:numId="3" w16cid:durableId="897127909">
    <w:abstractNumId w:val="15"/>
  </w:num>
  <w:num w:numId="4" w16cid:durableId="728311714">
    <w:abstractNumId w:val="0"/>
  </w:num>
  <w:num w:numId="5" w16cid:durableId="701321175">
    <w:abstractNumId w:val="5"/>
  </w:num>
  <w:num w:numId="6" w16cid:durableId="43144089">
    <w:abstractNumId w:val="13"/>
  </w:num>
  <w:num w:numId="7" w16cid:durableId="1362121432">
    <w:abstractNumId w:val="1"/>
  </w:num>
  <w:num w:numId="8" w16cid:durableId="1541504793">
    <w:abstractNumId w:val="9"/>
  </w:num>
  <w:num w:numId="9" w16cid:durableId="1969123017">
    <w:abstractNumId w:val="12"/>
  </w:num>
  <w:num w:numId="10" w16cid:durableId="209731956">
    <w:abstractNumId w:val="2"/>
  </w:num>
  <w:num w:numId="11" w16cid:durableId="1435202018">
    <w:abstractNumId w:val="8"/>
  </w:num>
  <w:num w:numId="12" w16cid:durableId="351492835">
    <w:abstractNumId w:val="3"/>
  </w:num>
  <w:num w:numId="13" w16cid:durableId="477263690">
    <w:abstractNumId w:val="11"/>
  </w:num>
  <w:num w:numId="14" w16cid:durableId="1045790232">
    <w:abstractNumId w:val="14"/>
  </w:num>
  <w:num w:numId="15" w16cid:durableId="660936591">
    <w:abstractNumId w:val="10"/>
  </w:num>
  <w:num w:numId="16" w16cid:durableId="10936702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173D0"/>
    <w:rsid w:val="000223BA"/>
    <w:rsid w:val="00023E17"/>
    <w:rsid w:val="0002405D"/>
    <w:rsid w:val="0002571C"/>
    <w:rsid w:val="00027FCF"/>
    <w:rsid w:val="000304FB"/>
    <w:rsid w:val="00031EC5"/>
    <w:rsid w:val="000329D0"/>
    <w:rsid w:val="00035264"/>
    <w:rsid w:val="00040DAF"/>
    <w:rsid w:val="00046639"/>
    <w:rsid w:val="000474F1"/>
    <w:rsid w:val="000575A4"/>
    <w:rsid w:val="00057E00"/>
    <w:rsid w:val="000627A5"/>
    <w:rsid w:val="00064DC1"/>
    <w:rsid w:val="000661D4"/>
    <w:rsid w:val="00067051"/>
    <w:rsid w:val="000679E0"/>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0ED5"/>
    <w:rsid w:val="000A1279"/>
    <w:rsid w:val="000A29DA"/>
    <w:rsid w:val="000A34A2"/>
    <w:rsid w:val="000A3857"/>
    <w:rsid w:val="000A42C8"/>
    <w:rsid w:val="000A6989"/>
    <w:rsid w:val="000B200C"/>
    <w:rsid w:val="000B409D"/>
    <w:rsid w:val="000B4DD7"/>
    <w:rsid w:val="000B4E4F"/>
    <w:rsid w:val="000B4EF1"/>
    <w:rsid w:val="000B5598"/>
    <w:rsid w:val="000C19B4"/>
    <w:rsid w:val="000C3386"/>
    <w:rsid w:val="000C362B"/>
    <w:rsid w:val="000C377C"/>
    <w:rsid w:val="000C5339"/>
    <w:rsid w:val="000D1FB9"/>
    <w:rsid w:val="000D7088"/>
    <w:rsid w:val="000D759E"/>
    <w:rsid w:val="000E1AB3"/>
    <w:rsid w:val="000E342C"/>
    <w:rsid w:val="000E45E6"/>
    <w:rsid w:val="000F3585"/>
    <w:rsid w:val="0010114F"/>
    <w:rsid w:val="00101539"/>
    <w:rsid w:val="001019F6"/>
    <w:rsid w:val="00103144"/>
    <w:rsid w:val="00105E8F"/>
    <w:rsid w:val="0010687A"/>
    <w:rsid w:val="00112F90"/>
    <w:rsid w:val="0011434E"/>
    <w:rsid w:val="00124265"/>
    <w:rsid w:val="00124A75"/>
    <w:rsid w:val="00124A9A"/>
    <w:rsid w:val="0012593F"/>
    <w:rsid w:val="00126E0F"/>
    <w:rsid w:val="0013044A"/>
    <w:rsid w:val="0013069E"/>
    <w:rsid w:val="00131AD7"/>
    <w:rsid w:val="0013403B"/>
    <w:rsid w:val="00134809"/>
    <w:rsid w:val="001416CC"/>
    <w:rsid w:val="00142AF8"/>
    <w:rsid w:val="00147A59"/>
    <w:rsid w:val="00153EED"/>
    <w:rsid w:val="00155FDD"/>
    <w:rsid w:val="00162D71"/>
    <w:rsid w:val="00162E8E"/>
    <w:rsid w:val="0016451D"/>
    <w:rsid w:val="00164B5C"/>
    <w:rsid w:val="00164C34"/>
    <w:rsid w:val="00165653"/>
    <w:rsid w:val="00165C51"/>
    <w:rsid w:val="001663D4"/>
    <w:rsid w:val="0016778F"/>
    <w:rsid w:val="00172619"/>
    <w:rsid w:val="00173A0D"/>
    <w:rsid w:val="00175EF9"/>
    <w:rsid w:val="00176BAB"/>
    <w:rsid w:val="00176BE5"/>
    <w:rsid w:val="00180E38"/>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560A5"/>
    <w:rsid w:val="0026354D"/>
    <w:rsid w:val="00265002"/>
    <w:rsid w:val="00267F25"/>
    <w:rsid w:val="00273820"/>
    <w:rsid w:val="00276008"/>
    <w:rsid w:val="0027720C"/>
    <w:rsid w:val="00285468"/>
    <w:rsid w:val="00290D64"/>
    <w:rsid w:val="00291254"/>
    <w:rsid w:val="00291525"/>
    <w:rsid w:val="00292AE6"/>
    <w:rsid w:val="0029474E"/>
    <w:rsid w:val="002958DA"/>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99A"/>
    <w:rsid w:val="002D6EAE"/>
    <w:rsid w:val="002D7C93"/>
    <w:rsid w:val="002E35D5"/>
    <w:rsid w:val="002E38A9"/>
    <w:rsid w:val="002E55BC"/>
    <w:rsid w:val="002E5D92"/>
    <w:rsid w:val="002E5DCF"/>
    <w:rsid w:val="002F45C4"/>
    <w:rsid w:val="002F4E06"/>
    <w:rsid w:val="002F6FBE"/>
    <w:rsid w:val="002F7B24"/>
    <w:rsid w:val="002F7D84"/>
    <w:rsid w:val="003004E2"/>
    <w:rsid w:val="0030220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618D"/>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13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24A22"/>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48C2"/>
    <w:rsid w:val="004F672C"/>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1D2D"/>
    <w:rsid w:val="005B6E01"/>
    <w:rsid w:val="005C0917"/>
    <w:rsid w:val="005C38DA"/>
    <w:rsid w:val="005C75D3"/>
    <w:rsid w:val="005D1CCC"/>
    <w:rsid w:val="005D6B00"/>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36C8"/>
    <w:rsid w:val="006555F0"/>
    <w:rsid w:val="0066020D"/>
    <w:rsid w:val="00661450"/>
    <w:rsid w:val="00662912"/>
    <w:rsid w:val="00663FDC"/>
    <w:rsid w:val="006653A4"/>
    <w:rsid w:val="006654B5"/>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3E5A"/>
    <w:rsid w:val="006C6FA5"/>
    <w:rsid w:val="006C7784"/>
    <w:rsid w:val="006D035D"/>
    <w:rsid w:val="006D106C"/>
    <w:rsid w:val="006D18F6"/>
    <w:rsid w:val="006D62BD"/>
    <w:rsid w:val="006D65F1"/>
    <w:rsid w:val="006D6DCA"/>
    <w:rsid w:val="006E0D01"/>
    <w:rsid w:val="006E2777"/>
    <w:rsid w:val="006E30C4"/>
    <w:rsid w:val="006E65FC"/>
    <w:rsid w:val="006E677A"/>
    <w:rsid w:val="006E7010"/>
    <w:rsid w:val="006F24BF"/>
    <w:rsid w:val="006F2B63"/>
    <w:rsid w:val="006F4EED"/>
    <w:rsid w:val="006F5037"/>
    <w:rsid w:val="00701887"/>
    <w:rsid w:val="00701A5B"/>
    <w:rsid w:val="00704150"/>
    <w:rsid w:val="007064F4"/>
    <w:rsid w:val="00715110"/>
    <w:rsid w:val="0071613E"/>
    <w:rsid w:val="00720252"/>
    <w:rsid w:val="0072224C"/>
    <w:rsid w:val="00724247"/>
    <w:rsid w:val="00725C83"/>
    <w:rsid w:val="00730B45"/>
    <w:rsid w:val="0073616A"/>
    <w:rsid w:val="00736885"/>
    <w:rsid w:val="007379A5"/>
    <w:rsid w:val="00741A92"/>
    <w:rsid w:val="007438D3"/>
    <w:rsid w:val="0074396C"/>
    <w:rsid w:val="00746CD3"/>
    <w:rsid w:val="0074780C"/>
    <w:rsid w:val="00747DF5"/>
    <w:rsid w:val="00750802"/>
    <w:rsid w:val="007517B5"/>
    <w:rsid w:val="0075687D"/>
    <w:rsid w:val="00757277"/>
    <w:rsid w:val="00760430"/>
    <w:rsid w:val="0076060F"/>
    <w:rsid w:val="0076212E"/>
    <w:rsid w:val="00762636"/>
    <w:rsid w:val="00766037"/>
    <w:rsid w:val="00770F6C"/>
    <w:rsid w:val="00777A52"/>
    <w:rsid w:val="00783DE3"/>
    <w:rsid w:val="007863CD"/>
    <w:rsid w:val="0079383F"/>
    <w:rsid w:val="007A7734"/>
    <w:rsid w:val="007A7A27"/>
    <w:rsid w:val="007C1BFF"/>
    <w:rsid w:val="007C2032"/>
    <w:rsid w:val="007C2B72"/>
    <w:rsid w:val="007D2A63"/>
    <w:rsid w:val="007D62B6"/>
    <w:rsid w:val="007D68E1"/>
    <w:rsid w:val="007E1DFC"/>
    <w:rsid w:val="007E2AEA"/>
    <w:rsid w:val="007E31F1"/>
    <w:rsid w:val="007E5C60"/>
    <w:rsid w:val="007E704E"/>
    <w:rsid w:val="007F47BC"/>
    <w:rsid w:val="00801170"/>
    <w:rsid w:val="00802275"/>
    <w:rsid w:val="00805178"/>
    <w:rsid w:val="008053C0"/>
    <w:rsid w:val="00805F81"/>
    <w:rsid w:val="00807515"/>
    <w:rsid w:val="00810B8F"/>
    <w:rsid w:val="00810D38"/>
    <w:rsid w:val="008116A1"/>
    <w:rsid w:val="008116BE"/>
    <w:rsid w:val="00812D02"/>
    <w:rsid w:val="00820579"/>
    <w:rsid w:val="00825878"/>
    <w:rsid w:val="00825C75"/>
    <w:rsid w:val="00826A61"/>
    <w:rsid w:val="00827C59"/>
    <w:rsid w:val="00830BCB"/>
    <w:rsid w:val="00830E03"/>
    <w:rsid w:val="0083446A"/>
    <w:rsid w:val="008349BF"/>
    <w:rsid w:val="00835446"/>
    <w:rsid w:val="00836019"/>
    <w:rsid w:val="00840213"/>
    <w:rsid w:val="00842988"/>
    <w:rsid w:val="00844E1E"/>
    <w:rsid w:val="00845DF9"/>
    <w:rsid w:val="0084674C"/>
    <w:rsid w:val="0085034F"/>
    <w:rsid w:val="008513C0"/>
    <w:rsid w:val="0085148D"/>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2202"/>
    <w:rsid w:val="00892489"/>
    <w:rsid w:val="008939E8"/>
    <w:rsid w:val="008947ED"/>
    <w:rsid w:val="00896A1F"/>
    <w:rsid w:val="008A0D73"/>
    <w:rsid w:val="008A2CF0"/>
    <w:rsid w:val="008A6A64"/>
    <w:rsid w:val="008B2916"/>
    <w:rsid w:val="008B420A"/>
    <w:rsid w:val="008B514E"/>
    <w:rsid w:val="008B7762"/>
    <w:rsid w:val="008C35C4"/>
    <w:rsid w:val="008C75F1"/>
    <w:rsid w:val="008D2717"/>
    <w:rsid w:val="008D415C"/>
    <w:rsid w:val="008D686D"/>
    <w:rsid w:val="008D6EB3"/>
    <w:rsid w:val="008E2B3A"/>
    <w:rsid w:val="008E321F"/>
    <w:rsid w:val="008E6369"/>
    <w:rsid w:val="008F05E5"/>
    <w:rsid w:val="008F42B2"/>
    <w:rsid w:val="008F4320"/>
    <w:rsid w:val="008F4E46"/>
    <w:rsid w:val="008F740A"/>
    <w:rsid w:val="008F791F"/>
    <w:rsid w:val="0090060D"/>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2D90"/>
    <w:rsid w:val="0094315E"/>
    <w:rsid w:val="009477B8"/>
    <w:rsid w:val="00947BA6"/>
    <w:rsid w:val="00950CE8"/>
    <w:rsid w:val="0095384B"/>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93E2D"/>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357"/>
    <w:rsid w:val="009D75DA"/>
    <w:rsid w:val="009E51ED"/>
    <w:rsid w:val="009E5531"/>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6AAF"/>
    <w:rsid w:val="00A26D40"/>
    <w:rsid w:val="00A30CE2"/>
    <w:rsid w:val="00A405D7"/>
    <w:rsid w:val="00A41B25"/>
    <w:rsid w:val="00A42B1C"/>
    <w:rsid w:val="00A434F8"/>
    <w:rsid w:val="00A456BB"/>
    <w:rsid w:val="00A475FE"/>
    <w:rsid w:val="00A47F51"/>
    <w:rsid w:val="00A502C1"/>
    <w:rsid w:val="00A509D4"/>
    <w:rsid w:val="00A51D6F"/>
    <w:rsid w:val="00A57167"/>
    <w:rsid w:val="00A61E53"/>
    <w:rsid w:val="00A63A1E"/>
    <w:rsid w:val="00A669D2"/>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4677"/>
    <w:rsid w:val="00AB7CF0"/>
    <w:rsid w:val="00AC2167"/>
    <w:rsid w:val="00AC2E84"/>
    <w:rsid w:val="00AC400D"/>
    <w:rsid w:val="00AC61DB"/>
    <w:rsid w:val="00AD3F07"/>
    <w:rsid w:val="00AD3FCF"/>
    <w:rsid w:val="00AD546D"/>
    <w:rsid w:val="00AD5D28"/>
    <w:rsid w:val="00AD6304"/>
    <w:rsid w:val="00AE2063"/>
    <w:rsid w:val="00AE55DA"/>
    <w:rsid w:val="00AE5D08"/>
    <w:rsid w:val="00AF0FE6"/>
    <w:rsid w:val="00AF1F18"/>
    <w:rsid w:val="00AF6694"/>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37AC"/>
    <w:rsid w:val="00BD614A"/>
    <w:rsid w:val="00BD6CE5"/>
    <w:rsid w:val="00BF4CA1"/>
    <w:rsid w:val="00BF7449"/>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73C"/>
    <w:rsid w:val="00C5285D"/>
    <w:rsid w:val="00C53E9A"/>
    <w:rsid w:val="00C54440"/>
    <w:rsid w:val="00C55AFA"/>
    <w:rsid w:val="00C55E3B"/>
    <w:rsid w:val="00C616EB"/>
    <w:rsid w:val="00C61EF9"/>
    <w:rsid w:val="00C63986"/>
    <w:rsid w:val="00C64D7A"/>
    <w:rsid w:val="00C64E12"/>
    <w:rsid w:val="00C763B8"/>
    <w:rsid w:val="00C81986"/>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31B4"/>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1AA"/>
    <w:rsid w:val="00D818D5"/>
    <w:rsid w:val="00D81D0B"/>
    <w:rsid w:val="00D81E2B"/>
    <w:rsid w:val="00D82DFF"/>
    <w:rsid w:val="00D9071E"/>
    <w:rsid w:val="00D9168A"/>
    <w:rsid w:val="00D942E6"/>
    <w:rsid w:val="00D942F7"/>
    <w:rsid w:val="00D972C0"/>
    <w:rsid w:val="00DA12A0"/>
    <w:rsid w:val="00DA2E27"/>
    <w:rsid w:val="00DA3E17"/>
    <w:rsid w:val="00DA49C8"/>
    <w:rsid w:val="00DA5D61"/>
    <w:rsid w:val="00DA7C83"/>
    <w:rsid w:val="00DB0046"/>
    <w:rsid w:val="00DB0EB3"/>
    <w:rsid w:val="00DB2B94"/>
    <w:rsid w:val="00DB2F05"/>
    <w:rsid w:val="00DB6DEA"/>
    <w:rsid w:val="00DC27AC"/>
    <w:rsid w:val="00DC6B15"/>
    <w:rsid w:val="00DC7FD8"/>
    <w:rsid w:val="00DD11A1"/>
    <w:rsid w:val="00DD1BFA"/>
    <w:rsid w:val="00DD3A5B"/>
    <w:rsid w:val="00DD67BC"/>
    <w:rsid w:val="00DD7A79"/>
    <w:rsid w:val="00DE67A4"/>
    <w:rsid w:val="00DF2A30"/>
    <w:rsid w:val="00DF4193"/>
    <w:rsid w:val="00DF4800"/>
    <w:rsid w:val="00DF62CC"/>
    <w:rsid w:val="00DF7688"/>
    <w:rsid w:val="00DF7C0A"/>
    <w:rsid w:val="00E010F3"/>
    <w:rsid w:val="00E02B57"/>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3223"/>
    <w:rsid w:val="00EA4AC7"/>
    <w:rsid w:val="00EA5BD5"/>
    <w:rsid w:val="00EA5D99"/>
    <w:rsid w:val="00EA78FF"/>
    <w:rsid w:val="00EA7A1A"/>
    <w:rsid w:val="00EB0A4C"/>
    <w:rsid w:val="00EB0D4E"/>
    <w:rsid w:val="00EB445E"/>
    <w:rsid w:val="00EB6164"/>
    <w:rsid w:val="00EC0729"/>
    <w:rsid w:val="00EC16C6"/>
    <w:rsid w:val="00EC366C"/>
    <w:rsid w:val="00EC4432"/>
    <w:rsid w:val="00EC6E05"/>
    <w:rsid w:val="00EC7189"/>
    <w:rsid w:val="00EC7CC2"/>
    <w:rsid w:val="00ED05AF"/>
    <w:rsid w:val="00ED3918"/>
    <w:rsid w:val="00ED5619"/>
    <w:rsid w:val="00ED63B9"/>
    <w:rsid w:val="00EF2182"/>
    <w:rsid w:val="00EF37AD"/>
    <w:rsid w:val="00EF59E8"/>
    <w:rsid w:val="00EF68A1"/>
    <w:rsid w:val="00EF68E4"/>
    <w:rsid w:val="00F03934"/>
    <w:rsid w:val="00F03B6B"/>
    <w:rsid w:val="00F04A05"/>
    <w:rsid w:val="00F11726"/>
    <w:rsid w:val="00F12787"/>
    <w:rsid w:val="00F1356F"/>
    <w:rsid w:val="00F1735E"/>
    <w:rsid w:val="00F2036E"/>
    <w:rsid w:val="00F2618A"/>
    <w:rsid w:val="00F2673C"/>
    <w:rsid w:val="00F31C9C"/>
    <w:rsid w:val="00F347E8"/>
    <w:rsid w:val="00F40D2F"/>
    <w:rsid w:val="00F4265D"/>
    <w:rsid w:val="00F42F1F"/>
    <w:rsid w:val="00F43DD9"/>
    <w:rsid w:val="00F453A8"/>
    <w:rsid w:val="00F4591D"/>
    <w:rsid w:val="00F50465"/>
    <w:rsid w:val="00F519D0"/>
    <w:rsid w:val="00F53FAA"/>
    <w:rsid w:val="00F570A5"/>
    <w:rsid w:val="00F61ABE"/>
    <w:rsid w:val="00F63060"/>
    <w:rsid w:val="00F64071"/>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A59A6"/>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6E14"/>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 w:type="paragraph" w:styleId="NormalWeb">
    <w:name w:val="Normal (Web)"/>
    <w:basedOn w:val="Normal"/>
    <w:uiPriority w:val="99"/>
    <w:unhideWhenUsed/>
    <w:rsid w:val="00C81986"/>
    <w:pPr>
      <w:spacing w:before="100" w:beforeAutospacing="1" w:after="100" w:afterAutospacing="1"/>
    </w:pPr>
    <w:rPr>
      <w:rFonts w:cs="Times New Roman"/>
      <w:noProof w:val="0"/>
      <w:sz w:val="24"/>
      <w:szCs w:val="24"/>
    </w:rPr>
  </w:style>
  <w:style w:type="paragraph" w:styleId="ListParagraph">
    <w:name w:val="List Paragraph"/>
    <w:basedOn w:val="Normal"/>
    <w:uiPriority w:val="34"/>
    <w:qFormat/>
    <w:rsid w:val="00C81986"/>
    <w:pPr>
      <w:spacing w:after="160" w:line="259" w:lineRule="auto"/>
      <w:ind w:left="720"/>
      <w:contextualSpacing/>
    </w:pPr>
    <w:rPr>
      <w:rFonts w:asciiTheme="minorHAnsi" w:eastAsiaTheme="minorHAnsi" w:hAnsiTheme="minorHAnsi" w:cstheme="minorBidi"/>
      <w:noProof w:val="0"/>
      <w:kern w:val="2"/>
      <w:sz w:val="22"/>
      <w:szCs w:val="22"/>
      <w14:ligatures w14:val="standardContextual"/>
    </w:rPr>
  </w:style>
  <w:style w:type="table" w:styleId="PlainTable3">
    <w:name w:val="Plain Table 3"/>
    <w:basedOn w:val="TableNormal"/>
    <w:uiPriority w:val="43"/>
    <w:rsid w:val="006654B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s.briotix.com/top-5-ergonomic-trends-to-watch-in-2025?referrer=grok.com" TargetMode="External"/><Relationship Id="rId13" Type="http://schemas.openxmlformats.org/officeDocument/2006/relationships/hyperlink" Target="https://doi.org/10.3389/fpubh.2024.1443217?referrer=grok.com" TargetMode="External"/><Relationship Id="rId18" Type="http://schemas.openxmlformats.org/officeDocument/2006/relationships/hyperlink" Target="https://www.who.int/news-room/fact-sheets/detail/musculoskeletal-conditions?referrer=grok.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oi.org/10.1186/s12889-025-21798-1?referrer=grok.com" TargetMode="External"/><Relationship Id="rId7" Type="http://schemas.openxmlformats.org/officeDocument/2006/relationships/endnotes" Target="endnotes.xml"/><Relationship Id="rId12" Type="http://schemas.openxmlformats.org/officeDocument/2006/relationships/hyperlink" Target="https://doi.org/10.3389/fpubh.2023.1253141?referrer=grok.com" TargetMode="External"/><Relationship Id="rId17" Type="http://schemas.openxmlformats.org/officeDocument/2006/relationships/hyperlink" Target="https://doi.org/10.2196/68522?referrer=grok.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oi.org/10.3390/jcm13133964?referrer=grok.com" TargetMode="External"/><Relationship Id="rId20" Type="http://schemas.openxmlformats.org/officeDocument/2006/relationships/hyperlink" Target="https://www.mdpi.com/2077-0383/14/9/3034?referrer=gr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wiworks.com/office-ergonomics-trends-for-2025?referrer=grok.co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ea.cc/about/what-is-ergonomics/?referrer=grok.com" TargetMode="External"/><Relationship Id="rId23" Type="http://schemas.openxmlformats.org/officeDocument/2006/relationships/footer" Target="footer1.xml"/><Relationship Id="rId10" Type="http://schemas.openxmlformats.org/officeDocument/2006/relationships/hyperlink" Target="https://dorncompanies.com/beyond-ergonomic-assessments?referrer=grok.com" TargetMode="External"/><Relationship Id="rId19" Type="http://schemas.openxmlformats.org/officeDocument/2006/relationships/hyperlink" Target="https://doi.org/10.1016/j.heliyon.2024.e01106X?referrer=grok.com" TargetMode="External"/><Relationship Id="rId4" Type="http://schemas.openxmlformats.org/officeDocument/2006/relationships/settings" Target="settings.xml"/><Relationship Id="rId9" Type="http://schemas.openxmlformats.org/officeDocument/2006/relationships/hyperlink" Target="https://www.cdc.gov/niosh/ergonomics/ergo-programs/risk-factors.html?referrer=grok.com" TargetMode="External"/><Relationship Id="rId14" Type="http://schemas.openxmlformats.org/officeDocument/2006/relationships/hyperlink" Target="https://pmc.ncbi.nlm.nih.gov/articles/PMC10676046/?referrer=grok.com"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4673</Words>
  <Characters>26637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31248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203</cp:lastModifiedBy>
  <cp:revision>3</cp:revision>
  <cp:lastPrinted>2025-12-22T17:05:00Z</cp:lastPrinted>
  <dcterms:created xsi:type="dcterms:W3CDTF">2025-12-22T17:05:00Z</dcterms:created>
  <dcterms:modified xsi:type="dcterms:W3CDTF">2025-12-22T17:06:00Z</dcterms:modified>
</cp:coreProperties>
</file>