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3ECC0" w14:textId="77777777" w:rsidR="00992AEA" w:rsidRDefault="00992AEA" w:rsidP="00CC69AE"/>
    <w:p w14:paraId="202E4DCC" w14:textId="77777777" w:rsidR="00CC69AE" w:rsidRDefault="00CC69AE" w:rsidP="00CC69AE"/>
    <w:p w14:paraId="7A5A42DD" w14:textId="77777777" w:rsidR="0088469A" w:rsidRPr="006B2BEE" w:rsidRDefault="0088469A" w:rsidP="0088469A">
      <w:pPr>
        <w:spacing w:before="100" w:beforeAutospacing="1" w:after="100" w:afterAutospacing="1"/>
        <w:jc w:val="center"/>
        <w:outlineLvl w:val="0"/>
        <w:rPr>
          <w:rFonts w:asciiTheme="majorBidi" w:hAnsiTheme="majorBidi" w:cstheme="majorBidi"/>
          <w:kern w:val="36"/>
          <w:sz w:val="28"/>
          <w:szCs w:val="28"/>
        </w:rPr>
      </w:pPr>
      <w:r w:rsidRPr="006B2BEE">
        <w:rPr>
          <w:rFonts w:asciiTheme="majorBidi" w:hAnsiTheme="majorBidi" w:cstheme="majorBidi"/>
          <w:kern w:val="36"/>
          <w:sz w:val="28"/>
          <w:szCs w:val="28"/>
        </w:rPr>
        <w:t>Occupational Stress in Hospital and Healthcare Workers: Causes, Consequences, and Interventions – A Comprehensive Review</w:t>
      </w:r>
    </w:p>
    <w:p w14:paraId="73C410FE" w14:textId="77777777" w:rsidR="0088469A" w:rsidRPr="003D6AC8" w:rsidRDefault="0088469A" w:rsidP="003D6AC8">
      <w:pPr>
        <w:pStyle w:val="NormalWeb"/>
        <w:jc w:val="center"/>
        <w:rPr>
          <w:b/>
          <w:bCs/>
          <w:sz w:val="32"/>
          <w:szCs w:val="32"/>
        </w:rPr>
      </w:pPr>
    </w:p>
    <w:p w14:paraId="0E307A02" w14:textId="77777777" w:rsidR="003D6AC8" w:rsidRPr="00DF2A30" w:rsidRDefault="003D6AC8" w:rsidP="003D6AC8">
      <w:pPr>
        <w:pStyle w:val="NormalWeb"/>
        <w:jc w:val="center"/>
        <w:rPr>
          <w:sz w:val="20"/>
          <w:szCs w:val="20"/>
          <w:lang w:bidi="fa-IR"/>
        </w:rPr>
      </w:pPr>
      <w:r>
        <w:rPr>
          <w:b/>
          <w:bCs/>
        </w:rPr>
        <w:t xml:space="preserve">Hossein </w:t>
      </w:r>
      <w:proofErr w:type="spellStart"/>
      <w:r>
        <w:rPr>
          <w:b/>
          <w:bCs/>
        </w:rPr>
        <w:t>Balfuroush</w:t>
      </w:r>
      <w:proofErr w:type="spellEnd"/>
      <w:r>
        <w:rPr>
          <w:b/>
          <w:bCs/>
        </w:rPr>
        <w:t xml:space="preserve"> </w:t>
      </w:r>
      <w:proofErr w:type="spellStart"/>
      <w:r>
        <w:rPr>
          <w:b/>
          <w:bCs/>
        </w:rPr>
        <w:t>Alipour</w:t>
      </w:r>
      <w:proofErr w:type="spellEnd"/>
    </w:p>
    <w:p w14:paraId="74C563CF" w14:textId="77777777" w:rsidR="003D6AC8" w:rsidRPr="00AF6694" w:rsidRDefault="003D6AC8" w:rsidP="003D6AC8">
      <w:pPr>
        <w:jc w:val="center"/>
        <w:rPr>
          <w:rFonts w:cs="Times New Roman"/>
          <w:b/>
          <w:bCs/>
          <w:color w:val="000000" w:themeColor="text1"/>
          <w:sz w:val="16"/>
          <w:szCs w:val="16"/>
          <w:rtl/>
        </w:rPr>
      </w:pPr>
      <w:r w:rsidRPr="00AF6694">
        <w:rPr>
          <w:rFonts w:cs="Times New Roman"/>
          <w:b/>
          <w:bCs/>
        </w:rPr>
        <w:t xml:space="preserve">Bachelor of Nursing, Shahed University, Tehran, Iran </w:t>
      </w:r>
      <w:r w:rsidRPr="00AF6694">
        <w:rPr>
          <w:rFonts w:cs="Times New Roman" w:hint="cs"/>
          <w:b/>
          <w:bCs/>
          <w:rtl/>
        </w:rPr>
        <w:t xml:space="preserve"> </w:t>
      </w:r>
    </w:p>
    <w:p w14:paraId="5392E82C" w14:textId="77777777" w:rsidR="003D6AC8" w:rsidRDefault="003D6AC8" w:rsidP="003D6AC8">
      <w:pPr>
        <w:jc w:val="center"/>
        <w:rPr>
          <w:rFonts w:cs="Times New Roman"/>
          <w:b/>
          <w:bCs/>
          <w:color w:val="000000" w:themeColor="text1"/>
          <w:sz w:val="16"/>
          <w:szCs w:val="16"/>
          <w:rtl/>
        </w:rPr>
      </w:pPr>
    </w:p>
    <w:p w14:paraId="43CCD217" w14:textId="77777777" w:rsidR="0088469A" w:rsidRDefault="0088469A" w:rsidP="0088469A">
      <w:pPr>
        <w:pStyle w:val="NormalWeb"/>
        <w:jc w:val="both"/>
        <w:rPr>
          <w:b/>
          <w:bCs/>
          <w:sz w:val="28"/>
          <w:szCs w:val="28"/>
        </w:rPr>
      </w:pPr>
    </w:p>
    <w:p w14:paraId="72FCF5F5" w14:textId="77777777" w:rsidR="0088469A" w:rsidRDefault="0088469A" w:rsidP="0088469A">
      <w:pPr>
        <w:pStyle w:val="NormalWeb"/>
        <w:jc w:val="both"/>
        <w:rPr>
          <w:b/>
          <w:bCs/>
          <w:sz w:val="28"/>
          <w:szCs w:val="28"/>
        </w:rPr>
      </w:pPr>
    </w:p>
    <w:p w14:paraId="7BA45386" w14:textId="77777777" w:rsidR="0088469A" w:rsidRPr="005C08C9" w:rsidRDefault="0088469A" w:rsidP="0088469A">
      <w:pPr>
        <w:pStyle w:val="NormalWeb"/>
        <w:jc w:val="both"/>
        <w:rPr>
          <w:b/>
          <w:bCs/>
        </w:rPr>
      </w:pPr>
      <w:r w:rsidRPr="005C08C9">
        <w:rPr>
          <w:b/>
          <w:bCs/>
        </w:rPr>
        <w:t>Abstract</w:t>
      </w:r>
    </w:p>
    <w:p w14:paraId="02BC7FB1" w14:textId="77777777" w:rsidR="00FF7A8C" w:rsidRPr="005C08C9" w:rsidRDefault="00FF7A8C" w:rsidP="008210DA">
      <w:pPr>
        <w:pStyle w:val="NormalWeb"/>
        <w:jc w:val="both"/>
        <w:rPr>
          <w:sz w:val="20"/>
          <w:szCs w:val="20"/>
          <w:rtl/>
        </w:rPr>
      </w:pPr>
      <w:r w:rsidRPr="005C08C9">
        <w:rPr>
          <w:sz w:val="20"/>
          <w:szCs w:val="20"/>
        </w:rPr>
        <w:t>Occupational stress among hospital and healthcare workers is a growing global challenge that affects employees’ physical and psychological well-being and can compromise the quality of patient care. Healthcare professionals, especially nurses, physicians, technicians, and emergency staff, are exposed to heavy workloads, long shifts, patient suffering and death, limited resources, and inadequate social support, leading to high stress levels. Research shows that stress and burnout prevalence among healthcare workers can reach up to 70%, resulting in reduced care quality, increased absenteeism and turnover, and various physical and mental health problems (PMC, 2021). Occupational stress can cause burnout, sleep disorders, anxiety, depression, reduced job satisfaction, cognitive impairments, and patient safety concerns. Major contributing factors include excessive workload, imbalance between job demands and available resources, inefficient shift scheduling, lack of organizational support, and structural challenges in the workplace (PMID: 2021; MDPI, 2021). Effective interventions at individual and organizational levels, such as stress management training, cognitive-behavioral approaches, structured rest breaks, improved working conditions, and strengthened social support systems, have been shown to reduce stress, enhance job satisfaction, and improve healthcare service delivery (PMC, 2021).</w:t>
      </w:r>
    </w:p>
    <w:p w14:paraId="58D4704C" w14:textId="77777777" w:rsidR="00FF7A8C" w:rsidRDefault="00FF7A8C" w:rsidP="00FF7A8C">
      <w:pPr>
        <w:pStyle w:val="NormalWeb"/>
        <w:rPr>
          <w:rtl/>
        </w:rPr>
      </w:pPr>
    </w:p>
    <w:p w14:paraId="5DBEE727" w14:textId="147B4A0C" w:rsidR="0088469A" w:rsidRPr="00D05274" w:rsidRDefault="0088469A" w:rsidP="00FF7A8C">
      <w:pPr>
        <w:pStyle w:val="NormalWeb"/>
        <w:rPr>
          <w:rStyle w:val="Strong"/>
        </w:rPr>
      </w:pPr>
      <w:r w:rsidRPr="005C08C9">
        <w:rPr>
          <w:b/>
          <w:bCs/>
        </w:rPr>
        <w:t>Keywords</w:t>
      </w:r>
      <w:r w:rsidRPr="00D05274">
        <w:rPr>
          <w:b/>
          <w:bCs/>
          <w:sz w:val="28"/>
          <w:szCs w:val="28"/>
        </w:rPr>
        <w:t>:</w:t>
      </w:r>
      <w:r>
        <w:t xml:space="preserve"> </w:t>
      </w:r>
      <w:r w:rsidRPr="005C08C9">
        <w:rPr>
          <w:rStyle w:val="Strong"/>
          <w:b w:val="0"/>
          <w:bCs w:val="0"/>
          <w:sz w:val="22"/>
          <w:szCs w:val="22"/>
        </w:rPr>
        <w:t>Occupational Stress-Healthcare Workers-Stress Management-Patient Safety-Burnout-Shift Work and Stress</w:t>
      </w:r>
    </w:p>
    <w:p w14:paraId="7FB6A34C" w14:textId="77777777" w:rsidR="0088469A" w:rsidRDefault="0088469A" w:rsidP="0088469A">
      <w:pPr>
        <w:pStyle w:val="NormalWeb"/>
      </w:pPr>
    </w:p>
    <w:p w14:paraId="1CA39C8A" w14:textId="77777777" w:rsidR="0088469A" w:rsidRDefault="0088469A" w:rsidP="0088469A">
      <w:pPr>
        <w:pStyle w:val="NormalWeb"/>
        <w:jc w:val="both"/>
      </w:pPr>
    </w:p>
    <w:p w14:paraId="4BB90C69" w14:textId="77777777" w:rsidR="0088469A" w:rsidRDefault="0088469A" w:rsidP="0088469A">
      <w:pPr>
        <w:pStyle w:val="NormalWeb"/>
        <w:jc w:val="both"/>
      </w:pPr>
    </w:p>
    <w:p w14:paraId="151DED6A" w14:textId="77777777" w:rsidR="0088469A" w:rsidRDefault="0088469A" w:rsidP="0088469A">
      <w:pPr>
        <w:pStyle w:val="NormalWeb"/>
        <w:jc w:val="both"/>
        <w:rPr>
          <w:rtl/>
        </w:rPr>
      </w:pPr>
    </w:p>
    <w:p w14:paraId="034120C0" w14:textId="77777777" w:rsidR="005C08C9" w:rsidRDefault="005C08C9" w:rsidP="0088469A">
      <w:pPr>
        <w:pStyle w:val="NormalWeb"/>
        <w:jc w:val="both"/>
        <w:rPr>
          <w:rtl/>
        </w:rPr>
      </w:pPr>
    </w:p>
    <w:p w14:paraId="24D00CE2" w14:textId="77777777" w:rsidR="005C08C9" w:rsidRDefault="005C08C9" w:rsidP="0088469A">
      <w:pPr>
        <w:pStyle w:val="NormalWeb"/>
        <w:jc w:val="both"/>
      </w:pPr>
    </w:p>
    <w:p w14:paraId="3829CA1C" w14:textId="77777777" w:rsidR="0088469A" w:rsidRDefault="0088469A" w:rsidP="0088469A">
      <w:pPr>
        <w:pStyle w:val="NormalWeb"/>
        <w:jc w:val="both"/>
      </w:pPr>
    </w:p>
    <w:p w14:paraId="363B5C67" w14:textId="77777777" w:rsidR="0088469A" w:rsidRPr="00B17072" w:rsidRDefault="0088469A" w:rsidP="0088469A">
      <w:pPr>
        <w:pStyle w:val="NormalWeb"/>
        <w:jc w:val="both"/>
        <w:rPr>
          <w:b/>
          <w:bCs/>
          <w:sz w:val="28"/>
          <w:szCs w:val="28"/>
        </w:rPr>
      </w:pPr>
      <w:r>
        <w:rPr>
          <w:b/>
          <w:bCs/>
          <w:sz w:val="28"/>
          <w:szCs w:val="28"/>
        </w:rPr>
        <w:lastRenderedPageBreak/>
        <w:t>1.</w:t>
      </w:r>
      <w:r w:rsidRPr="00440ABC">
        <w:rPr>
          <w:b/>
          <w:bCs/>
          <w:sz w:val="22"/>
          <w:szCs w:val="22"/>
        </w:rPr>
        <w:t>Introduction</w:t>
      </w:r>
    </w:p>
    <w:p w14:paraId="1E54B928" w14:textId="77777777" w:rsidR="0088469A" w:rsidRPr="00440ABC" w:rsidRDefault="0088469A" w:rsidP="0088469A">
      <w:pPr>
        <w:pStyle w:val="NormalWeb"/>
        <w:jc w:val="both"/>
        <w:rPr>
          <w:sz w:val="20"/>
          <w:szCs w:val="20"/>
        </w:rPr>
      </w:pPr>
      <w:r w:rsidRPr="00440ABC">
        <w:rPr>
          <w:sz w:val="20"/>
          <w:szCs w:val="20"/>
        </w:rPr>
        <w:t>Occupational stress</w:t>
      </w:r>
      <w:r w:rsidRPr="00440ABC">
        <w:rPr>
          <w:b/>
          <w:bCs/>
          <w:sz w:val="22"/>
          <w:szCs w:val="22"/>
        </w:rPr>
        <w:t xml:space="preserve"> </w:t>
      </w:r>
      <w:r w:rsidRPr="00440ABC">
        <w:rPr>
          <w:sz w:val="20"/>
          <w:szCs w:val="20"/>
        </w:rPr>
        <w:t>among hospital and healthcare workers represents a pervasive and critical challenge in healthcare systems worldwide. Healthcare professionals—including nurses, physicians, allied health personnel, and support staff—face distinctive stressors resulting from the nature of clinical environments, high job demands, emotional labor, and organizational constraints. Occupational stress is broadly defined as the psychological and physiological response that arises when job demands exceed an individual’s capacity or resources to cope (1). Notably, healthcare environments are characterized by sustained high workloads, rapid decision-making requirements, frequent exposure to pain and suffering, and often insufficient staffing, which collectively contribute to elevated stress levels (2). This introduction reviews the multifaceted causes and underlying mechanisms of occupational stress in healthcare settings, delineates its deleterious consequences for individuals and organizations, and underscores the imperative for effective interventions.</w:t>
      </w:r>
      <w:r w:rsidRPr="00440ABC">
        <w:rPr>
          <w:rFonts w:hint="cs"/>
          <w:sz w:val="20"/>
          <w:szCs w:val="20"/>
          <w:rtl/>
        </w:rPr>
        <w:t xml:space="preserve"> </w:t>
      </w:r>
      <w:r w:rsidRPr="00440ABC">
        <w:rPr>
          <w:sz w:val="20"/>
          <w:szCs w:val="20"/>
        </w:rPr>
        <w:t>Healthcare workers experience stressors that are both job-specific and universal to demanding occupations. Key job-specific stressors in clinical settings include intense interpersonal interactions, emotional burden associated with patient suffering and death, shift rotations and long working hours, and the requirement for constant vigilance and accuracy in clinical decision-making. These elements not only elevate psychological strain but also contribute to cumulative fatigue and burnout (3). Additionally, environmental factors such as inadequate support systems, lack of autonomy, poor communication, and suboptimal organizational culture exacerbate stress responses (4). The job demands-resources (JD-R) model posits that occupational stress arises from an imbalance between job demands and available job resources, with insufficient resources to buffer demands leading to strain and negative outcomes (5). According to this model, when healthcare workers face high demands—in terms of workload, emotional effort, and cognitive requirements—without adequate resources such as managerial support, social support, and decision latitude, stress levels escalate with subsequent negative effects on performance and well-being (6).</w:t>
      </w:r>
      <w:r w:rsidRPr="00440ABC">
        <w:rPr>
          <w:rFonts w:hint="cs"/>
          <w:sz w:val="20"/>
          <w:szCs w:val="20"/>
          <w:rtl/>
        </w:rPr>
        <w:t xml:space="preserve"> </w:t>
      </w:r>
      <w:r w:rsidRPr="00440ABC">
        <w:rPr>
          <w:sz w:val="20"/>
          <w:szCs w:val="20"/>
        </w:rPr>
        <w:t>The COVID-19 pandemic has significantly amplified occupational stress among healthcare personnel, revealing systemic vulnerabilities in stress management and workforce resilience. Frontline healthcare workers reported heightened stress due to fear of infection, moral dilemmas concerning resource allocation, prolonged working hours, and concern for personal and family health (7). These conditions illustrate how extraordinary public health crises can interact with chronic work-related stressors to produce acute psychological burdens. Furthermore, even before the pandemic, research consistently demonstrated high prevalence rates of stress and burnout among healthcare professionals, with some studies indicating that up to 70% of clinicians reported elevated stress and emotional exhaustion (8). Such statistics emphasize that occupational stress is not merely episodic but endemic within healthcare settings.</w:t>
      </w:r>
      <w:r w:rsidRPr="00440ABC">
        <w:rPr>
          <w:rFonts w:hint="cs"/>
          <w:sz w:val="20"/>
          <w:szCs w:val="20"/>
          <w:rtl/>
        </w:rPr>
        <w:t xml:space="preserve"> </w:t>
      </w:r>
      <w:r w:rsidRPr="00440ABC">
        <w:rPr>
          <w:sz w:val="20"/>
          <w:szCs w:val="20"/>
        </w:rPr>
        <w:t>The consequences of occupational stress in healthcare are profound and multifaceted. At the individual level, stress is correlated with burnout syndrome, a condition characterized by emotional exhaustion, depersonalization, and reduced personal accomplishment. Burnout has been linked to depressive symptoms, sleep disturbances, anxiety disorders, and impaired cognitive functioning (9). These psychological sequelae not only diminish quality of life for healthcare workers but also increase the likelihood of medical errors, reduce patient safety, and contribute to higher rates of absenteeism and turnover intentions among staff. Organizationally, elevated stress levels are associated with decreased productivity, impaired teamwork and communication, and heightened conflict among team members (10). Psychological strain has also been linked to lower job satisfaction and diminished commitment to organizational goals, which in turn perpetuates workforce instability.</w:t>
      </w:r>
    </w:p>
    <w:p w14:paraId="334FEFED" w14:textId="77777777" w:rsidR="0088469A" w:rsidRPr="00440ABC" w:rsidRDefault="0088469A" w:rsidP="0088469A">
      <w:pPr>
        <w:pStyle w:val="NormalWeb"/>
        <w:jc w:val="both"/>
        <w:rPr>
          <w:sz w:val="20"/>
          <w:szCs w:val="20"/>
        </w:rPr>
      </w:pPr>
      <w:r w:rsidRPr="00440ABC">
        <w:rPr>
          <w:sz w:val="20"/>
          <w:szCs w:val="20"/>
        </w:rPr>
        <w:t>Moreover, specific occupational hazards inherent to healthcare environments—such as patient-initiated violence and workplace bullying—further contribute to stress and burnout. Incidents of verbal and physical abuse from patients or their families are prevalent in clinical settings and serve as significant psychosocial stressors that erode worker morale and well-being (11). Such hostile encounters may result in trauma responses among staff, compounding the psychological toll of routine clinical stressors. Additionally, chronic understaffing and high patient-to-nurse ratios, which have become more pronounced due to global nursing shortages, compound workload pressures and elevate stress responses across healthcare professions (12).</w:t>
      </w:r>
      <w:r w:rsidRPr="00440ABC">
        <w:rPr>
          <w:rFonts w:hint="cs"/>
          <w:sz w:val="20"/>
          <w:szCs w:val="20"/>
          <w:rtl/>
        </w:rPr>
        <w:t xml:space="preserve"> </w:t>
      </w:r>
      <w:r w:rsidRPr="00440ABC">
        <w:rPr>
          <w:sz w:val="20"/>
          <w:szCs w:val="20"/>
        </w:rPr>
        <w:t>In response to the escalating burden of stress and its deleterious effects, a growing body of research has examined interventions aimed at mitigating occupational stress among healthcare workers. Interventions span individual-level strategies—such as cognitive-behavioral training, relaxation techniques, and resilience-building programs—to organizational-level reforms, including workload restructuring, improved communication strategies, and enhanced social support mechanisms (13). However, evidence suggests that while individual interventions can reduce stress symptoms in the short term, comprehensive organizational changes are necessary for sustainable impact. Interventions that address the root causes of stress, such as work schedules and job design modifications, have demonstrated more enduring effects in reducing stress and improving worker outcomes.</w:t>
      </w:r>
      <w:r w:rsidRPr="00440ABC">
        <w:rPr>
          <w:rFonts w:hint="cs"/>
          <w:sz w:val="20"/>
          <w:szCs w:val="20"/>
          <w:rtl/>
        </w:rPr>
        <w:t xml:space="preserve"> </w:t>
      </w:r>
      <w:r w:rsidRPr="00440ABC">
        <w:rPr>
          <w:sz w:val="20"/>
          <w:szCs w:val="20"/>
        </w:rPr>
        <w:t>In summary, occupational stress among hospital and healthcare workers is a multifactorial issue driven by job-specific demands, organizational constraints, and broader systemic challenges. The cumulative impact of these stressors manifests in significant psychological and physiological consequences for healthcare workers and undermines the quality of care delivered to patients. Understanding the causes and consequences of occupational stress is essential for developing effective, evidence-based interventions that promote both worker well-being and healthcare system performance. The following sections of this review will elaborate on these themes in depth, synthesizing current evidence and providing recommendations for practice and future research.</w:t>
      </w:r>
    </w:p>
    <w:p w14:paraId="1CB41A03" w14:textId="77777777" w:rsidR="0088469A" w:rsidRPr="00440ABC" w:rsidRDefault="0088469A" w:rsidP="0088469A">
      <w:pPr>
        <w:pStyle w:val="NormalWeb"/>
        <w:jc w:val="both"/>
        <w:rPr>
          <w:b/>
          <w:bCs/>
          <w:sz w:val="20"/>
          <w:szCs w:val="20"/>
        </w:rPr>
      </w:pPr>
      <w:r w:rsidRPr="00440ABC">
        <w:rPr>
          <w:b/>
          <w:bCs/>
          <w:sz w:val="22"/>
          <w:szCs w:val="22"/>
        </w:rPr>
        <w:t>2. Causes of Occupational Stress</w:t>
      </w:r>
    </w:p>
    <w:p w14:paraId="4456A06F" w14:textId="77777777" w:rsidR="0088469A" w:rsidRPr="00440ABC" w:rsidRDefault="0088469A" w:rsidP="0088469A">
      <w:pPr>
        <w:pStyle w:val="NormalWeb"/>
        <w:jc w:val="both"/>
        <w:rPr>
          <w:sz w:val="20"/>
          <w:szCs w:val="20"/>
        </w:rPr>
      </w:pPr>
      <w:r w:rsidRPr="00440ABC">
        <w:rPr>
          <w:sz w:val="20"/>
          <w:szCs w:val="20"/>
        </w:rPr>
        <w:t>Occupational stress in healthcare workers arises from a combination of job-specific demands, organizational factors, and environmental pressures. Healthcare environments are unique in that they not only require high levels of technical expertise but also involve significant emotional and interpersonal interactions. The causes of stress in this sector can be broadly categorized into workload, shift work, lack of resources, emotional labor, and interpersonal conflict.</w:t>
      </w:r>
    </w:p>
    <w:p w14:paraId="4A5596C5" w14:textId="77777777" w:rsidR="0088469A" w:rsidRPr="00115DD8" w:rsidRDefault="0088469A" w:rsidP="0088469A">
      <w:pPr>
        <w:pStyle w:val="NormalWeb"/>
        <w:jc w:val="both"/>
        <w:rPr>
          <w:sz w:val="20"/>
          <w:szCs w:val="20"/>
        </w:rPr>
      </w:pPr>
      <w:r w:rsidRPr="00115DD8">
        <w:rPr>
          <w:sz w:val="20"/>
          <w:szCs w:val="20"/>
        </w:rPr>
        <w:t>2.1. Workload</w:t>
      </w:r>
    </w:p>
    <w:p w14:paraId="5085D23E" w14:textId="77777777" w:rsidR="0088469A" w:rsidRPr="00115DD8" w:rsidRDefault="0088469A" w:rsidP="0088469A">
      <w:pPr>
        <w:pStyle w:val="NormalWeb"/>
        <w:jc w:val="both"/>
        <w:rPr>
          <w:sz w:val="20"/>
          <w:szCs w:val="20"/>
        </w:rPr>
      </w:pPr>
      <w:r w:rsidRPr="00115DD8">
        <w:rPr>
          <w:sz w:val="20"/>
          <w:szCs w:val="20"/>
        </w:rPr>
        <w:t>One of the primary contributors to occupational stress in healthcare workers is excessive workload. Healthcare professionals often manage large caseloads with limited time and resources, which leads to feelings of being overwhelmed and inadequate (13). Long working hours, frequent patient demands, and the need for quick decision-making create high-pressure environments that leave little room for error or rest. Inadequate staffing further exacerbates the workload, forcing healthcare workers to manage more patients than is ideal, which can increase both mental and physical stress (14).</w:t>
      </w:r>
      <w:r w:rsidRPr="00115DD8">
        <w:rPr>
          <w:rFonts w:hint="cs"/>
          <w:sz w:val="20"/>
          <w:szCs w:val="20"/>
          <w:rtl/>
        </w:rPr>
        <w:t xml:space="preserve"> </w:t>
      </w:r>
      <w:r w:rsidRPr="00115DD8">
        <w:rPr>
          <w:sz w:val="20"/>
          <w:szCs w:val="20"/>
        </w:rPr>
        <w:t>Research has shown that the perception of excessive workload is directly related to higher levels of stress, anxiety, and burnout. When workers feel that the demands of their job exceed their capacity, they experience higher stress and decreased job satisfaction, which can lead to poor health outcomes both for the workers and the patients they serve (15). For example, a study by Maslach et al. (2001) found that excessive workload is one of the key contributors to burnout among healthcare workers, particularly in emergency and intensive care units (16).</w:t>
      </w:r>
    </w:p>
    <w:p w14:paraId="38DF63B9" w14:textId="77777777" w:rsidR="0088469A" w:rsidRPr="00912708" w:rsidRDefault="0088469A" w:rsidP="0088469A">
      <w:pPr>
        <w:pStyle w:val="NormalWeb"/>
        <w:jc w:val="both"/>
        <w:rPr>
          <w:sz w:val="20"/>
          <w:szCs w:val="20"/>
        </w:rPr>
      </w:pPr>
      <w:r w:rsidRPr="00912708">
        <w:rPr>
          <w:sz w:val="20"/>
          <w:szCs w:val="20"/>
        </w:rPr>
        <w:t>2.2. Shift Work</w:t>
      </w:r>
    </w:p>
    <w:p w14:paraId="6D0189D2" w14:textId="77777777" w:rsidR="0088469A" w:rsidRPr="00115DD8" w:rsidRDefault="0088469A" w:rsidP="0088469A">
      <w:pPr>
        <w:pStyle w:val="NormalWeb"/>
        <w:jc w:val="both"/>
        <w:rPr>
          <w:sz w:val="20"/>
          <w:szCs w:val="20"/>
        </w:rPr>
      </w:pPr>
      <w:r w:rsidRPr="00115DD8">
        <w:rPr>
          <w:sz w:val="20"/>
          <w:szCs w:val="20"/>
        </w:rPr>
        <w:t>Shift work is another significant cause of stress for healthcare workers. Healthcare settings often require staff to work in rotating shifts, including night shifts, weekends, and holidays. This disruption to normal circadian rhythms has been shown to negatively affect both physical and mental health (17). Sleep deprivation resulting from irregular working hours increases fatigue and cognitive impairments, which in turn reduce performance and productivity. Workers on night shifts are particularly vulnerable, as they experience more severe disruptions to their sleep patterns and overall well-being (18).</w:t>
      </w:r>
      <w:r w:rsidRPr="00115DD8">
        <w:rPr>
          <w:rFonts w:hint="cs"/>
          <w:sz w:val="20"/>
          <w:szCs w:val="20"/>
          <w:rtl/>
        </w:rPr>
        <w:t xml:space="preserve"> </w:t>
      </w:r>
      <w:r w:rsidRPr="00115DD8">
        <w:rPr>
          <w:sz w:val="20"/>
          <w:szCs w:val="20"/>
        </w:rPr>
        <w:t>The cumulative effects of shift work include higher risks of cardiovascular disease, gastrointestinal problems, and mental health disorders (19). Furthermore, healthcare workers who work in rotating shifts experience a lack of social support and family time, which contributes to feelings of isolation and exacerbates stress. Evidence suggests that shift work not only increases physical stress but also contributes significantly to emotional exhaustion (20).</w:t>
      </w:r>
    </w:p>
    <w:p w14:paraId="6F11206B" w14:textId="77777777" w:rsidR="0088469A" w:rsidRPr="00912708" w:rsidRDefault="0088469A" w:rsidP="0088469A">
      <w:pPr>
        <w:pStyle w:val="NormalWeb"/>
        <w:jc w:val="both"/>
        <w:rPr>
          <w:sz w:val="20"/>
          <w:szCs w:val="20"/>
        </w:rPr>
      </w:pPr>
      <w:r w:rsidRPr="00912708">
        <w:rPr>
          <w:sz w:val="20"/>
          <w:szCs w:val="20"/>
        </w:rPr>
        <w:t>2.3. Lack of Resources</w:t>
      </w:r>
    </w:p>
    <w:p w14:paraId="7F158EB2" w14:textId="77777777" w:rsidR="0088469A" w:rsidRPr="00912708" w:rsidRDefault="0088469A" w:rsidP="0088469A">
      <w:pPr>
        <w:pStyle w:val="NormalWeb"/>
        <w:jc w:val="both"/>
        <w:rPr>
          <w:sz w:val="20"/>
          <w:szCs w:val="20"/>
        </w:rPr>
      </w:pPr>
      <w:r w:rsidRPr="00912708">
        <w:rPr>
          <w:sz w:val="20"/>
          <w:szCs w:val="20"/>
        </w:rPr>
        <w:t>A major factor contributing to stress in healthcare settings is the lack of resources. Healthcare workers are frequently required to deliver care under conditions of resource scarcity, including insufficient staffing, outdated equipment, and inadequate support systems (21). These constraints increase job demands and contribute to the feelings of frustration and helplessness among workers. When healthcare professionals are unable to perform their jobs effectively due to a lack of necessary tools or staff, stress levels rise (22).</w:t>
      </w:r>
      <w:r w:rsidRPr="00912708">
        <w:rPr>
          <w:rFonts w:hint="cs"/>
          <w:sz w:val="20"/>
          <w:szCs w:val="20"/>
          <w:rtl/>
        </w:rPr>
        <w:t xml:space="preserve"> </w:t>
      </w:r>
      <w:r w:rsidRPr="00912708">
        <w:rPr>
          <w:sz w:val="20"/>
          <w:szCs w:val="20"/>
        </w:rPr>
        <w:t>In addition, understaffing is a common issue in many healthcare organizations, which often leads to burnout and stress among workers. Studies have shown that increased patient-to-nurse ratios are associated with lower quality of care and higher levels of stress among healthcare professionals (23). Healthcare workers are more likely to experience emotional exhaustion and physical stress when they are unable to meet the needs of their patients due to inadequate resources (24).</w:t>
      </w:r>
    </w:p>
    <w:p w14:paraId="79103D2B" w14:textId="77777777" w:rsidR="0088469A" w:rsidRPr="00912708" w:rsidRDefault="0088469A" w:rsidP="0088469A">
      <w:pPr>
        <w:pStyle w:val="NormalWeb"/>
        <w:jc w:val="both"/>
        <w:rPr>
          <w:sz w:val="20"/>
          <w:szCs w:val="20"/>
        </w:rPr>
      </w:pPr>
      <w:r w:rsidRPr="00912708">
        <w:rPr>
          <w:sz w:val="20"/>
          <w:szCs w:val="20"/>
        </w:rPr>
        <w:t>2.4. Emotional Labor</w:t>
      </w:r>
    </w:p>
    <w:p w14:paraId="7F079A38" w14:textId="77777777" w:rsidR="0088469A" w:rsidRPr="00912708" w:rsidRDefault="0088469A" w:rsidP="0088469A">
      <w:pPr>
        <w:pStyle w:val="NormalWeb"/>
        <w:jc w:val="both"/>
        <w:rPr>
          <w:sz w:val="20"/>
          <w:szCs w:val="20"/>
        </w:rPr>
      </w:pPr>
      <w:r w:rsidRPr="00912708">
        <w:rPr>
          <w:sz w:val="20"/>
          <w:szCs w:val="20"/>
        </w:rPr>
        <w:t>Emotional labor is the process of managing emotions to meet the requirements of a job, particularly in roles that require direct interaction with patients. In healthcare, emotional labor is an essential component of the work performed by nurses, physicians, and other frontline staff, as they are expected to maintain composure and show empathy even in the face of emotionally draining situations (25). The emotional demands of caring for critically ill or terminally ill patients, coupled with the need to suppress personal emotions to maintain professionalism, contribute to emotional exhaustion and burnout (26).</w:t>
      </w:r>
      <w:r w:rsidRPr="00912708">
        <w:rPr>
          <w:rFonts w:hint="cs"/>
          <w:sz w:val="20"/>
          <w:szCs w:val="20"/>
          <w:rtl/>
        </w:rPr>
        <w:t xml:space="preserve"> </w:t>
      </w:r>
      <w:r w:rsidRPr="00912708">
        <w:rPr>
          <w:sz w:val="20"/>
          <w:szCs w:val="20"/>
        </w:rPr>
        <w:t>Research indicates that healthcare workers, especially those in palliative care, emergency departments, and intensive care units, experience significant emotional labor. This strain is particularly evident when workers are required to manage their emotions in difficult situations, such as delivering bad news or handling patient deaths (27). Over time, this continuous emotional labor can lead to burnout and a decreased ability to provide compassionate care (28).</w:t>
      </w:r>
    </w:p>
    <w:p w14:paraId="61B4636F" w14:textId="77777777" w:rsidR="0088469A" w:rsidRPr="00966A78" w:rsidRDefault="0088469A" w:rsidP="0088469A">
      <w:pPr>
        <w:pStyle w:val="NormalWeb"/>
        <w:jc w:val="both"/>
        <w:rPr>
          <w:sz w:val="20"/>
          <w:szCs w:val="20"/>
        </w:rPr>
      </w:pPr>
      <w:r w:rsidRPr="00966A78">
        <w:rPr>
          <w:sz w:val="20"/>
          <w:szCs w:val="20"/>
        </w:rPr>
        <w:t>2.5. Interpersonal Conflict</w:t>
      </w:r>
    </w:p>
    <w:p w14:paraId="6057745C" w14:textId="77777777" w:rsidR="0088469A" w:rsidRPr="00966A78" w:rsidRDefault="0088469A" w:rsidP="0088469A">
      <w:pPr>
        <w:pStyle w:val="NormalWeb"/>
        <w:jc w:val="both"/>
        <w:rPr>
          <w:sz w:val="20"/>
          <w:szCs w:val="20"/>
        </w:rPr>
      </w:pPr>
      <w:r w:rsidRPr="00966A78">
        <w:rPr>
          <w:sz w:val="20"/>
          <w:szCs w:val="20"/>
        </w:rPr>
        <w:t>Interpersonal conflict within healthcare teams is another key source of occupational stress. Healthcare settings involve complex interactions among staff, including physicians, nurses, technicians, and support staff, as well as interactions with patients and their families. Poor communication, unclear roles, and conflicts over patient care can lead to interpersonal tensions, which contribute significantly to workplace stress (29). Additionally, hierarchical structures in many healthcare settings may exacerbate power struggles, where junior staff may feel unsupported or disrespected by senior colleagues (30).</w:t>
      </w:r>
      <w:r w:rsidRPr="00966A78">
        <w:rPr>
          <w:rFonts w:hint="cs"/>
          <w:sz w:val="20"/>
          <w:szCs w:val="20"/>
          <w:rtl/>
        </w:rPr>
        <w:t xml:space="preserve"> </w:t>
      </w:r>
      <w:r w:rsidRPr="00966A78">
        <w:rPr>
          <w:sz w:val="20"/>
          <w:szCs w:val="20"/>
        </w:rPr>
        <w:t>Conflict and lack of collaboration among team members not only affect individual stress levels but also influence team cohesion, job satisfaction, and patient care outcomes. Studies have shown that healthcare professionals who experience interpersonal conflict are more likely to report high levels of stress and lower job satisfaction (31). These interpersonal issues can lead to higher turnover rates, further exacerbating the stress of remaining staff.</w:t>
      </w:r>
    </w:p>
    <w:p w14:paraId="1617E1DD" w14:textId="77777777" w:rsidR="0088469A" w:rsidRPr="00966A78" w:rsidRDefault="0088469A" w:rsidP="0088469A">
      <w:pPr>
        <w:pStyle w:val="NormalWeb"/>
        <w:jc w:val="both"/>
        <w:rPr>
          <w:b/>
          <w:bCs/>
          <w:sz w:val="22"/>
          <w:szCs w:val="22"/>
        </w:rPr>
      </w:pPr>
      <w:r w:rsidRPr="00966A78">
        <w:rPr>
          <w:b/>
          <w:bCs/>
          <w:sz w:val="22"/>
          <w:szCs w:val="22"/>
        </w:rPr>
        <w:t>3. Consequences of Occupational Stress in Healthcare Workers</w:t>
      </w:r>
    </w:p>
    <w:p w14:paraId="2D40991A" w14:textId="77777777" w:rsidR="0088469A" w:rsidRPr="00966A78" w:rsidRDefault="0088469A" w:rsidP="0088469A">
      <w:pPr>
        <w:pStyle w:val="NormalWeb"/>
        <w:jc w:val="both"/>
        <w:rPr>
          <w:sz w:val="20"/>
          <w:szCs w:val="20"/>
        </w:rPr>
      </w:pPr>
      <w:r w:rsidRPr="00966A78">
        <w:rPr>
          <w:sz w:val="20"/>
          <w:szCs w:val="20"/>
        </w:rPr>
        <w:t>Occupational stress in healthcare workers has significant repercussions not only on the workers themselves but also on the organizations they serve and the patients they care for. The consequences of occupational stress manifest across multiple domains, including psychological, physical, and organizational effects. This section outlines the major consequences of stress in healthcare workers, with particular attention to burnout, job satisfaction, mental and physical health, and patient safety.</w:t>
      </w:r>
    </w:p>
    <w:p w14:paraId="223E4EAB" w14:textId="77777777" w:rsidR="0088469A" w:rsidRPr="00992212" w:rsidRDefault="0088469A" w:rsidP="0088469A">
      <w:pPr>
        <w:pStyle w:val="NormalWeb"/>
        <w:jc w:val="both"/>
        <w:rPr>
          <w:sz w:val="20"/>
          <w:szCs w:val="20"/>
        </w:rPr>
      </w:pPr>
      <w:r w:rsidRPr="00992212">
        <w:rPr>
          <w:sz w:val="20"/>
          <w:szCs w:val="20"/>
        </w:rPr>
        <w:t>3.1. Psychological Consequences</w:t>
      </w:r>
    </w:p>
    <w:p w14:paraId="4B5CAFE4" w14:textId="77777777" w:rsidR="0088469A" w:rsidRPr="00CE2385" w:rsidRDefault="0088469A" w:rsidP="0088469A">
      <w:pPr>
        <w:pStyle w:val="NormalWeb"/>
        <w:jc w:val="both"/>
        <w:rPr>
          <w:sz w:val="20"/>
          <w:szCs w:val="20"/>
        </w:rPr>
      </w:pPr>
      <w:r w:rsidRPr="00CE2385">
        <w:rPr>
          <w:sz w:val="20"/>
          <w:szCs w:val="20"/>
        </w:rPr>
        <w:t>One of the most profound effects of occupational stress is burnout. Burnout is a state of emotional, mental, and physical exhaustion caused by prolonged stress and frustration, particularly in roles where individuals are required to provide care for others. Healthcare workers, especially those in high-demand areas such as emergency rooms, intensive care units, and oncology, are highly susceptible to burnout due to the emotional labor involved in caring for patients, particularly those suffering from severe or terminal conditions (33). According to Maslach et al. (2001), burnout is characterized by three key dimensions: emotional exhaustion, depersonalization, and a sense of reduced personal accomplishment. These dimensions are closely linked to occupational stressors and have a profound impact on workers' mental well-being.</w:t>
      </w:r>
    </w:p>
    <w:p w14:paraId="3DD49964" w14:textId="77777777" w:rsidR="0088469A" w:rsidRPr="00CE2385" w:rsidRDefault="0088469A" w:rsidP="00CE2385">
      <w:pPr>
        <w:pStyle w:val="Heading4"/>
        <w:jc w:val="center"/>
        <w:rPr>
          <w:rFonts w:asciiTheme="majorBidi" w:hAnsiTheme="majorBidi"/>
          <w:b w:val="0"/>
          <w:bCs w:val="0"/>
          <w:i/>
          <w:iCs/>
          <w:sz w:val="18"/>
          <w:szCs w:val="18"/>
          <w:rtl/>
        </w:rPr>
      </w:pPr>
      <w:r w:rsidRPr="00CE2385">
        <w:rPr>
          <w:rStyle w:val="Strong"/>
          <w:rFonts w:asciiTheme="majorBidi" w:hAnsiTheme="majorBidi"/>
          <w:b/>
          <w:bCs/>
          <w:sz w:val="18"/>
          <w:szCs w:val="18"/>
        </w:rPr>
        <w:t>Table 1: The Dimensions of Burnout</w:t>
      </w:r>
    </w:p>
    <w:tbl>
      <w:tblPr>
        <w:tblStyle w:val="TableGrid"/>
        <w:tblW w:w="0" w:type="auto"/>
        <w:tblLook w:val="04A0" w:firstRow="1" w:lastRow="0" w:firstColumn="1" w:lastColumn="0" w:noHBand="0" w:noVBand="1"/>
      </w:tblPr>
      <w:tblGrid>
        <w:gridCol w:w="2387"/>
        <w:gridCol w:w="3431"/>
        <w:gridCol w:w="3537"/>
      </w:tblGrid>
      <w:tr w:rsidR="0088469A" w:rsidRPr="00B17072" w14:paraId="0F3D47CB" w14:textId="77777777" w:rsidTr="001B7760">
        <w:tc>
          <w:tcPr>
            <w:tcW w:w="0" w:type="auto"/>
            <w:tcBorders>
              <w:top w:val="single" w:sz="4" w:space="0" w:color="auto"/>
              <w:left w:val="nil"/>
              <w:bottom w:val="single" w:sz="4" w:space="0" w:color="auto"/>
              <w:right w:val="nil"/>
            </w:tcBorders>
            <w:hideMark/>
          </w:tcPr>
          <w:p w14:paraId="200D69D2" w14:textId="77777777" w:rsidR="0088469A" w:rsidRPr="00002C46" w:rsidRDefault="0088469A" w:rsidP="00334E23">
            <w:pPr>
              <w:jc w:val="center"/>
              <w:rPr>
                <w:rFonts w:cs="Times New Roman"/>
              </w:rPr>
            </w:pPr>
            <w:r w:rsidRPr="00002C46">
              <w:rPr>
                <w:rFonts w:cs="Times New Roman"/>
              </w:rPr>
              <w:t>Dimension</w:t>
            </w:r>
          </w:p>
        </w:tc>
        <w:tc>
          <w:tcPr>
            <w:tcW w:w="0" w:type="auto"/>
            <w:tcBorders>
              <w:top w:val="single" w:sz="4" w:space="0" w:color="auto"/>
              <w:left w:val="nil"/>
              <w:bottom w:val="single" w:sz="4" w:space="0" w:color="auto"/>
              <w:right w:val="nil"/>
            </w:tcBorders>
            <w:hideMark/>
          </w:tcPr>
          <w:p w14:paraId="3DA1649F" w14:textId="77777777" w:rsidR="0088469A" w:rsidRPr="00002C46" w:rsidRDefault="0088469A" w:rsidP="00334E23">
            <w:pPr>
              <w:jc w:val="center"/>
              <w:rPr>
                <w:rFonts w:cs="Times New Roman"/>
              </w:rPr>
            </w:pPr>
            <w:r w:rsidRPr="00002C46">
              <w:rPr>
                <w:rFonts w:cs="Times New Roman"/>
              </w:rPr>
              <w:t>Description</w:t>
            </w:r>
          </w:p>
        </w:tc>
        <w:tc>
          <w:tcPr>
            <w:tcW w:w="0" w:type="auto"/>
            <w:tcBorders>
              <w:top w:val="single" w:sz="4" w:space="0" w:color="auto"/>
              <w:left w:val="nil"/>
              <w:bottom w:val="single" w:sz="4" w:space="0" w:color="auto"/>
              <w:right w:val="nil"/>
            </w:tcBorders>
            <w:hideMark/>
          </w:tcPr>
          <w:p w14:paraId="739DFE9A" w14:textId="77777777" w:rsidR="0088469A" w:rsidRPr="00002C46" w:rsidRDefault="0088469A" w:rsidP="00334E23">
            <w:pPr>
              <w:jc w:val="center"/>
              <w:rPr>
                <w:rFonts w:cs="Times New Roman"/>
              </w:rPr>
            </w:pPr>
            <w:r w:rsidRPr="00002C46">
              <w:rPr>
                <w:rFonts w:cs="Times New Roman"/>
              </w:rPr>
              <w:t>Impact on Healthcare Workers</w:t>
            </w:r>
          </w:p>
        </w:tc>
      </w:tr>
      <w:tr w:rsidR="0088469A" w:rsidRPr="00B17072" w14:paraId="571AB4B9" w14:textId="77777777" w:rsidTr="001B7760">
        <w:tc>
          <w:tcPr>
            <w:tcW w:w="0" w:type="auto"/>
            <w:tcBorders>
              <w:top w:val="single" w:sz="4" w:space="0" w:color="auto"/>
              <w:left w:val="nil"/>
              <w:bottom w:val="nil"/>
              <w:right w:val="nil"/>
            </w:tcBorders>
            <w:hideMark/>
          </w:tcPr>
          <w:p w14:paraId="3CF7F550" w14:textId="77777777" w:rsidR="0088469A" w:rsidRPr="00002C46" w:rsidRDefault="0088469A" w:rsidP="00334E23">
            <w:pPr>
              <w:jc w:val="center"/>
              <w:rPr>
                <w:rFonts w:cs="Times New Roman"/>
              </w:rPr>
            </w:pPr>
            <w:r w:rsidRPr="00002C46">
              <w:rPr>
                <w:rFonts w:cs="Times New Roman"/>
              </w:rPr>
              <w:t>Emotional Exhaustion</w:t>
            </w:r>
          </w:p>
        </w:tc>
        <w:tc>
          <w:tcPr>
            <w:tcW w:w="0" w:type="auto"/>
            <w:tcBorders>
              <w:top w:val="single" w:sz="4" w:space="0" w:color="auto"/>
              <w:left w:val="nil"/>
              <w:bottom w:val="nil"/>
              <w:right w:val="nil"/>
            </w:tcBorders>
            <w:hideMark/>
          </w:tcPr>
          <w:p w14:paraId="0F8ACB3E" w14:textId="77777777" w:rsidR="0088469A" w:rsidRPr="00002C46" w:rsidRDefault="0088469A" w:rsidP="00334E23">
            <w:pPr>
              <w:jc w:val="center"/>
              <w:rPr>
                <w:rFonts w:cs="Times New Roman"/>
              </w:rPr>
            </w:pPr>
            <w:r w:rsidRPr="00002C46">
              <w:rPr>
                <w:rFonts w:cs="Times New Roman"/>
              </w:rPr>
              <w:t>The feeling of being emotionally drained and overwhelmed.</w:t>
            </w:r>
          </w:p>
        </w:tc>
        <w:tc>
          <w:tcPr>
            <w:tcW w:w="0" w:type="auto"/>
            <w:tcBorders>
              <w:top w:val="single" w:sz="4" w:space="0" w:color="auto"/>
              <w:left w:val="nil"/>
              <w:bottom w:val="nil"/>
              <w:right w:val="nil"/>
            </w:tcBorders>
            <w:hideMark/>
          </w:tcPr>
          <w:p w14:paraId="5AA3C072" w14:textId="77777777" w:rsidR="0088469A" w:rsidRPr="00002C46" w:rsidRDefault="0088469A" w:rsidP="00334E23">
            <w:pPr>
              <w:jc w:val="center"/>
              <w:rPr>
                <w:rFonts w:cs="Times New Roman"/>
              </w:rPr>
            </w:pPr>
            <w:r w:rsidRPr="00002C46">
              <w:rPr>
                <w:rFonts w:cs="Times New Roman"/>
              </w:rPr>
              <w:t>Leads to fatigue, lack of empathy, and reduced job satisfaction.</w:t>
            </w:r>
          </w:p>
        </w:tc>
      </w:tr>
      <w:tr w:rsidR="0088469A" w:rsidRPr="00B17072" w14:paraId="7E1DF3B3" w14:textId="77777777" w:rsidTr="001B7760">
        <w:tc>
          <w:tcPr>
            <w:tcW w:w="0" w:type="auto"/>
            <w:tcBorders>
              <w:top w:val="nil"/>
              <w:left w:val="nil"/>
              <w:bottom w:val="nil"/>
              <w:right w:val="nil"/>
            </w:tcBorders>
            <w:hideMark/>
          </w:tcPr>
          <w:p w14:paraId="3693F8D8" w14:textId="77777777" w:rsidR="0088469A" w:rsidRPr="00002C46" w:rsidRDefault="0088469A" w:rsidP="00334E23">
            <w:pPr>
              <w:jc w:val="center"/>
              <w:rPr>
                <w:rFonts w:cs="Times New Roman"/>
              </w:rPr>
            </w:pPr>
            <w:r w:rsidRPr="00002C46">
              <w:rPr>
                <w:rFonts w:cs="Times New Roman"/>
              </w:rPr>
              <w:t>Depersonalization</w:t>
            </w:r>
          </w:p>
        </w:tc>
        <w:tc>
          <w:tcPr>
            <w:tcW w:w="0" w:type="auto"/>
            <w:tcBorders>
              <w:top w:val="nil"/>
              <w:left w:val="nil"/>
              <w:bottom w:val="nil"/>
              <w:right w:val="nil"/>
            </w:tcBorders>
            <w:hideMark/>
          </w:tcPr>
          <w:p w14:paraId="65BE55ED" w14:textId="77777777" w:rsidR="0088469A" w:rsidRPr="00002C46" w:rsidRDefault="0088469A" w:rsidP="00334E23">
            <w:pPr>
              <w:jc w:val="center"/>
              <w:rPr>
                <w:rFonts w:cs="Times New Roman"/>
              </w:rPr>
            </w:pPr>
            <w:r w:rsidRPr="00002C46">
              <w:rPr>
                <w:rFonts w:cs="Times New Roman"/>
              </w:rPr>
              <w:t>The development of negative, detached attitudes toward patients.</w:t>
            </w:r>
          </w:p>
        </w:tc>
        <w:tc>
          <w:tcPr>
            <w:tcW w:w="0" w:type="auto"/>
            <w:tcBorders>
              <w:top w:val="nil"/>
              <w:left w:val="nil"/>
              <w:bottom w:val="nil"/>
              <w:right w:val="nil"/>
            </w:tcBorders>
            <w:hideMark/>
          </w:tcPr>
          <w:p w14:paraId="51F34EAC" w14:textId="77777777" w:rsidR="0088469A" w:rsidRPr="00002C46" w:rsidRDefault="0088469A" w:rsidP="00334E23">
            <w:pPr>
              <w:jc w:val="center"/>
              <w:rPr>
                <w:rFonts w:cs="Times New Roman"/>
              </w:rPr>
            </w:pPr>
            <w:r w:rsidRPr="00002C46">
              <w:rPr>
                <w:rFonts w:cs="Times New Roman"/>
              </w:rPr>
              <w:t>Results in a lack of engagement and compassion in care delivery.</w:t>
            </w:r>
          </w:p>
        </w:tc>
      </w:tr>
      <w:tr w:rsidR="0088469A" w:rsidRPr="00B17072" w14:paraId="670EC56F" w14:textId="77777777" w:rsidTr="00002C46">
        <w:tc>
          <w:tcPr>
            <w:tcW w:w="0" w:type="auto"/>
            <w:tcBorders>
              <w:top w:val="nil"/>
              <w:left w:val="nil"/>
              <w:bottom w:val="single" w:sz="4" w:space="0" w:color="auto"/>
              <w:right w:val="nil"/>
            </w:tcBorders>
            <w:hideMark/>
          </w:tcPr>
          <w:p w14:paraId="5E1B0459" w14:textId="77777777" w:rsidR="0088469A" w:rsidRPr="00002C46" w:rsidRDefault="0088469A" w:rsidP="00334E23">
            <w:pPr>
              <w:jc w:val="center"/>
              <w:rPr>
                <w:rFonts w:cs="Times New Roman"/>
              </w:rPr>
            </w:pPr>
            <w:r w:rsidRPr="00002C46">
              <w:rPr>
                <w:rFonts w:cs="Times New Roman"/>
              </w:rPr>
              <w:t>Reduced Personal Accomplishment</w:t>
            </w:r>
          </w:p>
        </w:tc>
        <w:tc>
          <w:tcPr>
            <w:tcW w:w="0" w:type="auto"/>
            <w:tcBorders>
              <w:top w:val="nil"/>
              <w:left w:val="nil"/>
              <w:bottom w:val="single" w:sz="4" w:space="0" w:color="auto"/>
              <w:right w:val="nil"/>
            </w:tcBorders>
            <w:hideMark/>
          </w:tcPr>
          <w:p w14:paraId="4D82C0F1" w14:textId="77777777" w:rsidR="0088469A" w:rsidRPr="00002C46" w:rsidRDefault="0088469A" w:rsidP="00334E23">
            <w:pPr>
              <w:jc w:val="center"/>
              <w:rPr>
                <w:rFonts w:cs="Times New Roman"/>
              </w:rPr>
            </w:pPr>
            <w:r w:rsidRPr="00002C46">
              <w:rPr>
                <w:rFonts w:cs="Times New Roman"/>
              </w:rPr>
              <w:t>The feeling of inadequacy and lack of achievement.</w:t>
            </w:r>
          </w:p>
        </w:tc>
        <w:tc>
          <w:tcPr>
            <w:tcW w:w="0" w:type="auto"/>
            <w:tcBorders>
              <w:top w:val="nil"/>
              <w:left w:val="nil"/>
              <w:bottom w:val="single" w:sz="4" w:space="0" w:color="auto"/>
              <w:right w:val="nil"/>
            </w:tcBorders>
            <w:hideMark/>
          </w:tcPr>
          <w:p w14:paraId="2C30CBFF" w14:textId="77777777" w:rsidR="0088469A" w:rsidRPr="00002C46" w:rsidRDefault="0088469A" w:rsidP="00334E23">
            <w:pPr>
              <w:jc w:val="center"/>
              <w:rPr>
                <w:rFonts w:cs="Times New Roman"/>
              </w:rPr>
            </w:pPr>
            <w:r w:rsidRPr="00002C46">
              <w:rPr>
                <w:rFonts w:cs="Times New Roman"/>
              </w:rPr>
              <w:t>Decreases motivation and increases the desire to leave the profession.</w:t>
            </w:r>
          </w:p>
        </w:tc>
      </w:tr>
    </w:tbl>
    <w:p w14:paraId="3CB91E53" w14:textId="77777777" w:rsidR="0088469A" w:rsidRPr="00ED1760" w:rsidRDefault="0088469A" w:rsidP="0088469A">
      <w:pPr>
        <w:pStyle w:val="NormalWeb"/>
        <w:jc w:val="both"/>
        <w:rPr>
          <w:sz w:val="20"/>
          <w:szCs w:val="20"/>
        </w:rPr>
      </w:pPr>
      <w:r w:rsidRPr="00ED1760">
        <w:rPr>
          <w:sz w:val="20"/>
          <w:szCs w:val="20"/>
        </w:rPr>
        <w:t>Burnout negatively affects job satisfaction, increasing rates of absenteeism and turnover. Healthcare workers experiencing burnout are more likely to express a desire to leave their jobs, leading to a reduction in workforce stability (34). Additionally, psychological stress leads to increased levels of anxiety, depression, and sleep disturbances, which affect workers' ability to provide quality care (35).</w:t>
      </w:r>
    </w:p>
    <w:p w14:paraId="2249FBA1" w14:textId="77777777" w:rsidR="00ED1760" w:rsidRDefault="00ED1760" w:rsidP="0088469A">
      <w:pPr>
        <w:pStyle w:val="Heading4"/>
        <w:rPr>
          <w:rStyle w:val="Strong"/>
          <w:rFonts w:asciiTheme="majorBidi" w:hAnsiTheme="majorBidi"/>
          <w:rtl/>
        </w:rPr>
      </w:pPr>
    </w:p>
    <w:p w14:paraId="3EB10ABF" w14:textId="77777777" w:rsidR="00ED1760" w:rsidRDefault="00ED1760" w:rsidP="0088469A">
      <w:pPr>
        <w:pStyle w:val="Heading4"/>
        <w:rPr>
          <w:rStyle w:val="Strong"/>
          <w:rFonts w:asciiTheme="majorBidi" w:hAnsiTheme="majorBidi"/>
          <w:rtl/>
        </w:rPr>
      </w:pPr>
    </w:p>
    <w:p w14:paraId="24CD1851" w14:textId="0B4705AA" w:rsidR="0088469A" w:rsidRPr="00ED1760" w:rsidRDefault="0088469A" w:rsidP="00ED1760">
      <w:pPr>
        <w:pStyle w:val="Heading4"/>
        <w:jc w:val="right"/>
        <w:rPr>
          <w:rFonts w:asciiTheme="majorBidi" w:hAnsiTheme="majorBidi"/>
          <w:i/>
          <w:iCs/>
          <w:sz w:val="20"/>
          <w:szCs w:val="20"/>
        </w:rPr>
      </w:pPr>
      <w:r w:rsidRPr="00ED1760">
        <w:rPr>
          <w:rStyle w:val="Strong"/>
          <w:rFonts w:asciiTheme="majorBidi" w:hAnsiTheme="majorBidi"/>
          <w:sz w:val="20"/>
          <w:szCs w:val="20"/>
        </w:rPr>
        <w:t>3.2. Physical Health Consequences</w:t>
      </w:r>
    </w:p>
    <w:p w14:paraId="6B2A9DCF" w14:textId="77777777" w:rsidR="0088469A" w:rsidRPr="00ED1760" w:rsidRDefault="0088469A" w:rsidP="0088469A">
      <w:pPr>
        <w:pStyle w:val="NormalWeb"/>
        <w:jc w:val="both"/>
        <w:rPr>
          <w:sz w:val="20"/>
          <w:szCs w:val="20"/>
        </w:rPr>
      </w:pPr>
      <w:r w:rsidRPr="00ED1760">
        <w:rPr>
          <w:sz w:val="20"/>
          <w:szCs w:val="20"/>
        </w:rPr>
        <w:t>The physical consequences of occupational stress are equally concerning. Prolonged stress is linked to a variety of health issues, including cardiovascular disease, gastrointestinal problems, musculoskeletal disorders, and weakened immune systems. Healthcare workers are often required to work long shifts, sometimes with inadequate breaks, which can contribute to physical strain. A study by McEwen (2006) found that chronic stress is associated with an increased risk of hypertension, heart disease, and stroke (36). Furthermore, musculoskeletal injuries, particularly back pain, are prevalent in healthcare workers due to the physical demands of lifting and moving patients.</w:t>
      </w:r>
    </w:p>
    <w:p w14:paraId="5CF50BDA" w14:textId="77777777" w:rsidR="0088469A" w:rsidRPr="00BD33E5" w:rsidRDefault="0088469A" w:rsidP="00BD33E5">
      <w:pPr>
        <w:pStyle w:val="Heading4"/>
        <w:jc w:val="center"/>
        <w:rPr>
          <w:rStyle w:val="Strong"/>
          <w:rFonts w:asciiTheme="majorBidi" w:hAnsiTheme="majorBidi"/>
          <w:b/>
          <w:bCs/>
          <w:i/>
          <w:iCs/>
          <w:sz w:val="18"/>
          <w:szCs w:val="18"/>
        </w:rPr>
      </w:pPr>
      <w:r w:rsidRPr="00BD33E5">
        <w:rPr>
          <w:rStyle w:val="Strong"/>
          <w:rFonts w:asciiTheme="majorBidi" w:hAnsiTheme="majorBidi"/>
          <w:b/>
          <w:bCs/>
          <w:sz w:val="18"/>
          <w:szCs w:val="18"/>
        </w:rPr>
        <w:t>Table 2: Physical Health Consequences of Occupational Stress</w:t>
      </w:r>
    </w:p>
    <w:p w14:paraId="3FD49B90" w14:textId="77777777" w:rsidR="0088469A" w:rsidRPr="00B17072" w:rsidRDefault="0088469A" w:rsidP="0088469A"/>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4"/>
        <w:gridCol w:w="3247"/>
        <w:gridCol w:w="3974"/>
      </w:tblGrid>
      <w:tr w:rsidR="0088469A" w:rsidRPr="00BD33E5" w14:paraId="3CDBE2E9" w14:textId="77777777" w:rsidTr="003E1CD7">
        <w:tc>
          <w:tcPr>
            <w:tcW w:w="0" w:type="auto"/>
            <w:tcBorders>
              <w:top w:val="single" w:sz="4" w:space="0" w:color="auto"/>
              <w:bottom w:val="single" w:sz="4" w:space="0" w:color="auto"/>
            </w:tcBorders>
            <w:hideMark/>
          </w:tcPr>
          <w:p w14:paraId="5A60B655" w14:textId="77777777" w:rsidR="0088469A" w:rsidRPr="00BD33E5" w:rsidRDefault="0088469A" w:rsidP="00334E23">
            <w:pPr>
              <w:jc w:val="center"/>
              <w:rPr>
                <w:rFonts w:cs="Times New Roman"/>
              </w:rPr>
            </w:pPr>
            <w:r w:rsidRPr="00BD33E5">
              <w:rPr>
                <w:rFonts w:cs="Times New Roman"/>
              </w:rPr>
              <w:t>Health Issue</w:t>
            </w:r>
          </w:p>
        </w:tc>
        <w:tc>
          <w:tcPr>
            <w:tcW w:w="0" w:type="auto"/>
            <w:tcBorders>
              <w:top w:val="single" w:sz="4" w:space="0" w:color="auto"/>
              <w:bottom w:val="single" w:sz="4" w:space="0" w:color="auto"/>
            </w:tcBorders>
            <w:hideMark/>
          </w:tcPr>
          <w:p w14:paraId="4B3FBE9C" w14:textId="77777777" w:rsidR="0088469A" w:rsidRPr="00BD33E5" w:rsidRDefault="0088469A" w:rsidP="00334E23">
            <w:pPr>
              <w:jc w:val="center"/>
              <w:rPr>
                <w:rFonts w:cs="Times New Roman"/>
              </w:rPr>
            </w:pPr>
            <w:r w:rsidRPr="00BD33E5">
              <w:rPr>
                <w:rFonts w:cs="Times New Roman"/>
              </w:rPr>
              <w:t>Cause of Stress</w:t>
            </w:r>
          </w:p>
        </w:tc>
        <w:tc>
          <w:tcPr>
            <w:tcW w:w="0" w:type="auto"/>
            <w:tcBorders>
              <w:top w:val="single" w:sz="4" w:space="0" w:color="auto"/>
              <w:bottom w:val="single" w:sz="4" w:space="0" w:color="auto"/>
            </w:tcBorders>
            <w:hideMark/>
          </w:tcPr>
          <w:p w14:paraId="67803771" w14:textId="77777777" w:rsidR="0088469A" w:rsidRPr="00BD33E5" w:rsidRDefault="0088469A" w:rsidP="00334E23">
            <w:pPr>
              <w:jc w:val="center"/>
              <w:rPr>
                <w:rFonts w:cs="Times New Roman"/>
              </w:rPr>
            </w:pPr>
            <w:r w:rsidRPr="00BD33E5">
              <w:rPr>
                <w:rFonts w:cs="Times New Roman"/>
              </w:rPr>
              <w:t>Effect on Healthcare Workers</w:t>
            </w:r>
          </w:p>
        </w:tc>
      </w:tr>
      <w:tr w:rsidR="0088469A" w:rsidRPr="00BD33E5" w14:paraId="422C429A" w14:textId="77777777" w:rsidTr="003E1CD7">
        <w:tc>
          <w:tcPr>
            <w:tcW w:w="0" w:type="auto"/>
            <w:tcBorders>
              <w:top w:val="single" w:sz="4" w:space="0" w:color="auto"/>
            </w:tcBorders>
            <w:hideMark/>
          </w:tcPr>
          <w:p w14:paraId="5A9CDDF5" w14:textId="77777777" w:rsidR="0088469A" w:rsidRPr="00BD33E5" w:rsidRDefault="0088469A" w:rsidP="00334E23">
            <w:pPr>
              <w:jc w:val="center"/>
              <w:rPr>
                <w:rFonts w:cs="Times New Roman"/>
              </w:rPr>
            </w:pPr>
            <w:r w:rsidRPr="00BD33E5">
              <w:rPr>
                <w:rFonts w:cs="Times New Roman"/>
              </w:rPr>
              <w:t>Cardiovascular Disease</w:t>
            </w:r>
          </w:p>
        </w:tc>
        <w:tc>
          <w:tcPr>
            <w:tcW w:w="0" w:type="auto"/>
            <w:tcBorders>
              <w:top w:val="single" w:sz="4" w:space="0" w:color="auto"/>
            </w:tcBorders>
            <w:hideMark/>
          </w:tcPr>
          <w:p w14:paraId="4EFBEDA0" w14:textId="77777777" w:rsidR="0088469A" w:rsidRPr="00BD33E5" w:rsidRDefault="0088469A" w:rsidP="00334E23">
            <w:pPr>
              <w:jc w:val="center"/>
              <w:rPr>
                <w:rFonts w:cs="Times New Roman"/>
              </w:rPr>
            </w:pPr>
            <w:r w:rsidRPr="00BD33E5">
              <w:rPr>
                <w:rFonts w:cs="Times New Roman"/>
              </w:rPr>
              <w:t>Chronic stress and high blood pressure.</w:t>
            </w:r>
          </w:p>
        </w:tc>
        <w:tc>
          <w:tcPr>
            <w:tcW w:w="0" w:type="auto"/>
            <w:tcBorders>
              <w:top w:val="single" w:sz="4" w:space="0" w:color="auto"/>
            </w:tcBorders>
            <w:hideMark/>
          </w:tcPr>
          <w:p w14:paraId="31D7E300" w14:textId="77777777" w:rsidR="0088469A" w:rsidRPr="00BD33E5" w:rsidRDefault="0088469A" w:rsidP="00334E23">
            <w:pPr>
              <w:jc w:val="center"/>
              <w:rPr>
                <w:rFonts w:cs="Times New Roman"/>
              </w:rPr>
            </w:pPr>
            <w:r w:rsidRPr="00BD33E5">
              <w:rPr>
                <w:rFonts w:cs="Times New Roman"/>
              </w:rPr>
              <w:t>Increased risk of heart disease, stroke, and hypertension.</w:t>
            </w:r>
          </w:p>
        </w:tc>
      </w:tr>
      <w:tr w:rsidR="0088469A" w:rsidRPr="00BD33E5" w14:paraId="3E08F71E" w14:textId="77777777" w:rsidTr="00BD33E5">
        <w:tc>
          <w:tcPr>
            <w:tcW w:w="0" w:type="auto"/>
            <w:hideMark/>
          </w:tcPr>
          <w:p w14:paraId="3703F25A" w14:textId="77777777" w:rsidR="0088469A" w:rsidRPr="00BD33E5" w:rsidRDefault="0088469A" w:rsidP="00334E23">
            <w:pPr>
              <w:jc w:val="center"/>
              <w:rPr>
                <w:rFonts w:cs="Times New Roman"/>
              </w:rPr>
            </w:pPr>
            <w:r w:rsidRPr="00BD33E5">
              <w:rPr>
                <w:rFonts w:cs="Times New Roman"/>
              </w:rPr>
              <w:t>Gastrointestinal Disorders</w:t>
            </w:r>
          </w:p>
        </w:tc>
        <w:tc>
          <w:tcPr>
            <w:tcW w:w="0" w:type="auto"/>
            <w:hideMark/>
          </w:tcPr>
          <w:p w14:paraId="2D752975" w14:textId="77777777" w:rsidR="0088469A" w:rsidRPr="00BD33E5" w:rsidRDefault="0088469A" w:rsidP="00334E23">
            <w:pPr>
              <w:jc w:val="center"/>
              <w:rPr>
                <w:rFonts w:cs="Times New Roman"/>
              </w:rPr>
            </w:pPr>
            <w:r w:rsidRPr="00BD33E5">
              <w:rPr>
                <w:rFonts w:cs="Times New Roman"/>
              </w:rPr>
              <w:t>Irregular work hours and poor diet.</w:t>
            </w:r>
          </w:p>
        </w:tc>
        <w:tc>
          <w:tcPr>
            <w:tcW w:w="0" w:type="auto"/>
            <w:hideMark/>
          </w:tcPr>
          <w:p w14:paraId="02C44147" w14:textId="77777777" w:rsidR="0088469A" w:rsidRPr="00BD33E5" w:rsidRDefault="0088469A" w:rsidP="00334E23">
            <w:pPr>
              <w:jc w:val="center"/>
              <w:rPr>
                <w:rFonts w:cs="Times New Roman"/>
              </w:rPr>
            </w:pPr>
            <w:r w:rsidRPr="00BD33E5">
              <w:rPr>
                <w:rFonts w:cs="Times New Roman"/>
              </w:rPr>
              <w:t>Higher rates of gastrointestinal issues such as ulcers.</w:t>
            </w:r>
          </w:p>
        </w:tc>
      </w:tr>
      <w:tr w:rsidR="0088469A" w:rsidRPr="00BD33E5" w14:paraId="3D62323A" w14:textId="77777777" w:rsidTr="003E1CD7">
        <w:tc>
          <w:tcPr>
            <w:tcW w:w="0" w:type="auto"/>
            <w:tcBorders>
              <w:bottom w:val="single" w:sz="4" w:space="0" w:color="auto"/>
            </w:tcBorders>
            <w:hideMark/>
          </w:tcPr>
          <w:p w14:paraId="78FD07D3" w14:textId="77777777" w:rsidR="0088469A" w:rsidRPr="00BD33E5" w:rsidRDefault="0088469A" w:rsidP="00334E23">
            <w:pPr>
              <w:jc w:val="center"/>
              <w:rPr>
                <w:rFonts w:cs="Times New Roman"/>
              </w:rPr>
            </w:pPr>
            <w:r w:rsidRPr="00BD33E5">
              <w:rPr>
                <w:rFonts w:cs="Times New Roman"/>
              </w:rPr>
              <w:t>Musculoskeletal Disorders</w:t>
            </w:r>
          </w:p>
        </w:tc>
        <w:tc>
          <w:tcPr>
            <w:tcW w:w="0" w:type="auto"/>
            <w:tcBorders>
              <w:bottom w:val="single" w:sz="4" w:space="0" w:color="auto"/>
            </w:tcBorders>
            <w:hideMark/>
          </w:tcPr>
          <w:p w14:paraId="1E2216E6" w14:textId="77777777" w:rsidR="0088469A" w:rsidRPr="00BD33E5" w:rsidRDefault="0088469A" w:rsidP="00334E23">
            <w:pPr>
              <w:jc w:val="center"/>
              <w:rPr>
                <w:rFonts w:cs="Times New Roman"/>
              </w:rPr>
            </w:pPr>
            <w:r w:rsidRPr="00BD33E5">
              <w:rPr>
                <w:rFonts w:cs="Times New Roman"/>
              </w:rPr>
              <w:t>Physical strain from lifting and moving patients.</w:t>
            </w:r>
          </w:p>
        </w:tc>
        <w:tc>
          <w:tcPr>
            <w:tcW w:w="0" w:type="auto"/>
            <w:tcBorders>
              <w:bottom w:val="single" w:sz="4" w:space="0" w:color="auto"/>
            </w:tcBorders>
            <w:hideMark/>
          </w:tcPr>
          <w:p w14:paraId="1CD5491A" w14:textId="77777777" w:rsidR="0088469A" w:rsidRPr="00BD33E5" w:rsidRDefault="0088469A" w:rsidP="00334E23">
            <w:pPr>
              <w:jc w:val="center"/>
              <w:rPr>
                <w:rFonts w:cs="Times New Roman"/>
              </w:rPr>
            </w:pPr>
            <w:r w:rsidRPr="00BD33E5">
              <w:rPr>
                <w:rFonts w:cs="Times New Roman"/>
              </w:rPr>
              <w:t>Back pain, joint strain, and other musculoskeletal injuries.</w:t>
            </w:r>
          </w:p>
        </w:tc>
      </w:tr>
    </w:tbl>
    <w:p w14:paraId="35BF980C" w14:textId="77777777" w:rsidR="00BD33E5" w:rsidRDefault="00BD33E5" w:rsidP="00BD33E5">
      <w:pPr>
        <w:pStyle w:val="Heading4"/>
        <w:rPr>
          <w:rStyle w:val="Strong"/>
          <w:rFonts w:asciiTheme="majorBidi" w:hAnsiTheme="majorBidi"/>
          <w:rtl/>
        </w:rPr>
      </w:pPr>
    </w:p>
    <w:p w14:paraId="466640E7" w14:textId="6AEA3351" w:rsidR="00BD33E5" w:rsidRPr="005B2021" w:rsidRDefault="0088469A" w:rsidP="00BD33E5">
      <w:pPr>
        <w:pStyle w:val="Heading4"/>
        <w:jc w:val="right"/>
        <w:rPr>
          <w:rFonts w:asciiTheme="majorBidi" w:hAnsiTheme="majorBidi"/>
          <w:b w:val="0"/>
          <w:bCs w:val="0"/>
          <w:sz w:val="20"/>
          <w:szCs w:val="20"/>
        </w:rPr>
      </w:pPr>
      <w:r w:rsidRPr="005B2021">
        <w:rPr>
          <w:rStyle w:val="Strong"/>
          <w:rFonts w:asciiTheme="majorBidi" w:hAnsiTheme="majorBidi"/>
          <w:sz w:val="20"/>
          <w:szCs w:val="20"/>
        </w:rPr>
        <w:t>3.3. Organizational Consequences</w:t>
      </w:r>
    </w:p>
    <w:p w14:paraId="23935F8B" w14:textId="77777777" w:rsidR="0088469A" w:rsidRDefault="0088469A" w:rsidP="0088469A">
      <w:pPr>
        <w:pStyle w:val="NormalWeb"/>
        <w:jc w:val="both"/>
        <w:rPr>
          <w:sz w:val="20"/>
          <w:szCs w:val="20"/>
          <w:rtl/>
        </w:rPr>
      </w:pPr>
      <w:r w:rsidRPr="005B2021">
        <w:rPr>
          <w:sz w:val="20"/>
          <w:szCs w:val="20"/>
        </w:rPr>
        <w:t>At the organizational level, occupational stress leads to decreased productivity, poor teamwork, and reduced communication among healthcare staff. Healthcare systems rely on efficient teamwork and communication to deliver high-quality care, but stress and burnout undermine these crucial elements. As stressed workers become less effective in their roles, patient care quality suffers, leading to errors, delayed treatments, and even patient fatalities (37). Research has shown that organizations with high levels of stress among employees experience higher rates of medical errors, lower patient satisfaction, and reduced overall healthcare quality (38).</w:t>
      </w:r>
    </w:p>
    <w:p w14:paraId="5F228FE2" w14:textId="77777777" w:rsidR="005B2021" w:rsidRPr="005B2021" w:rsidRDefault="005B2021" w:rsidP="0088469A">
      <w:pPr>
        <w:pStyle w:val="NormalWeb"/>
        <w:jc w:val="both"/>
        <w:rPr>
          <w:sz w:val="20"/>
          <w:szCs w:val="20"/>
        </w:rPr>
      </w:pPr>
    </w:p>
    <w:p w14:paraId="67C51828" w14:textId="77777777" w:rsidR="0088469A" w:rsidRPr="00992212" w:rsidRDefault="0088469A" w:rsidP="00992212">
      <w:pPr>
        <w:pStyle w:val="Heading4"/>
        <w:ind w:firstLine="720"/>
        <w:jc w:val="right"/>
        <w:rPr>
          <w:rStyle w:val="Strong"/>
          <w:rFonts w:asciiTheme="majorBidi" w:hAnsiTheme="majorBidi"/>
          <w:b/>
          <w:bCs/>
          <w:i/>
          <w:iCs/>
          <w:sz w:val="22"/>
        </w:rPr>
      </w:pPr>
      <w:r w:rsidRPr="00992212">
        <w:rPr>
          <w:rStyle w:val="Strong"/>
          <w:rFonts w:asciiTheme="majorBidi" w:hAnsiTheme="majorBidi"/>
          <w:b/>
          <w:bCs/>
          <w:sz w:val="22"/>
        </w:rPr>
        <w:t>4. Interventions to Mitigate Occupational Stress</w:t>
      </w:r>
    </w:p>
    <w:p w14:paraId="0F3CAD5F" w14:textId="77777777" w:rsidR="0088469A" w:rsidRPr="00992212" w:rsidRDefault="0088469A" w:rsidP="0088469A">
      <w:pPr>
        <w:pStyle w:val="NormalWeb"/>
        <w:rPr>
          <w:sz w:val="20"/>
          <w:szCs w:val="20"/>
        </w:rPr>
      </w:pPr>
      <w:r w:rsidRPr="00992212">
        <w:rPr>
          <w:sz w:val="20"/>
          <w:szCs w:val="20"/>
        </w:rPr>
        <w:t>Effective interventions for mitigating occupational stress in healthcare workers are essential for improving both individual well-being and organizational performance. These interventions can be implemented at both the individual and organizational levels, addressing both the symptoms and root causes of stress.</w:t>
      </w:r>
    </w:p>
    <w:p w14:paraId="25D3CC23" w14:textId="77777777" w:rsidR="0088469A" w:rsidRPr="00992212" w:rsidRDefault="0088469A" w:rsidP="00992212">
      <w:pPr>
        <w:pStyle w:val="Heading4"/>
        <w:jc w:val="right"/>
        <w:rPr>
          <w:sz w:val="20"/>
          <w:szCs w:val="20"/>
        </w:rPr>
      </w:pPr>
      <w:r w:rsidRPr="00992212">
        <w:rPr>
          <w:rStyle w:val="Strong"/>
          <w:rFonts w:asciiTheme="majorBidi" w:hAnsiTheme="majorBidi"/>
          <w:sz w:val="20"/>
          <w:szCs w:val="20"/>
        </w:rPr>
        <w:t>4.1. Individual-Level Interventions</w:t>
      </w:r>
    </w:p>
    <w:p w14:paraId="494B1E26" w14:textId="77777777" w:rsidR="0088469A" w:rsidRPr="007A5CCA" w:rsidRDefault="0088469A" w:rsidP="0088469A">
      <w:pPr>
        <w:pStyle w:val="NormalWeb"/>
        <w:jc w:val="both"/>
        <w:rPr>
          <w:sz w:val="20"/>
          <w:szCs w:val="20"/>
        </w:rPr>
      </w:pPr>
      <w:r w:rsidRPr="007A5CCA">
        <w:rPr>
          <w:sz w:val="20"/>
          <w:szCs w:val="20"/>
        </w:rPr>
        <w:t>One of the most common interventions for managing occupational stress is stress management training. Techniques such as mindfulness, meditation, and relaxation exercises have been shown to reduce stress and improve emotional well-being. Mindfulness-based stress reduction (MBSR) is an evidence-based intervention that has demonstrated significant benefits in reducing stress and improving mental health outcomes in healthcare workers (39). Similarly, cognitive-behavioral therapy (CBT) has been found to be effective in helping individuals develop coping mechanisms to manage stress more effectively (40).</w:t>
      </w:r>
    </w:p>
    <w:p w14:paraId="61D083ED" w14:textId="77777777" w:rsidR="0088469A" w:rsidRPr="007A5CCA" w:rsidRDefault="0088469A" w:rsidP="007A5CCA">
      <w:pPr>
        <w:pStyle w:val="Heading4"/>
        <w:jc w:val="center"/>
        <w:rPr>
          <w:rStyle w:val="Strong"/>
          <w:rFonts w:asciiTheme="majorBidi" w:hAnsiTheme="majorBidi"/>
          <w:b/>
          <w:bCs/>
          <w:i/>
          <w:iCs/>
          <w:sz w:val="18"/>
          <w:szCs w:val="18"/>
        </w:rPr>
      </w:pPr>
      <w:r w:rsidRPr="007A5CCA">
        <w:rPr>
          <w:rStyle w:val="Strong"/>
          <w:rFonts w:asciiTheme="majorBidi" w:hAnsiTheme="majorBidi"/>
          <w:b/>
          <w:bCs/>
          <w:sz w:val="18"/>
          <w:szCs w:val="18"/>
        </w:rPr>
        <w:t>Table 3: Stress Management Techniques</w:t>
      </w:r>
    </w:p>
    <w:tbl>
      <w:tblPr>
        <w:tblStyle w:val="TableGrid"/>
        <w:tblW w:w="0" w:type="auto"/>
        <w:tblLook w:val="04A0" w:firstRow="1" w:lastRow="0" w:firstColumn="1" w:lastColumn="0" w:noHBand="0" w:noVBand="1"/>
      </w:tblPr>
      <w:tblGrid>
        <w:gridCol w:w="2499"/>
        <w:gridCol w:w="3686"/>
        <w:gridCol w:w="3170"/>
      </w:tblGrid>
      <w:tr w:rsidR="0088469A" w:rsidRPr="000E18A9" w14:paraId="29A7BF71" w14:textId="77777777" w:rsidTr="007A5CCA">
        <w:tc>
          <w:tcPr>
            <w:tcW w:w="0" w:type="auto"/>
            <w:tcBorders>
              <w:top w:val="single" w:sz="4" w:space="0" w:color="auto"/>
              <w:left w:val="nil"/>
              <w:bottom w:val="single" w:sz="4" w:space="0" w:color="auto"/>
              <w:right w:val="nil"/>
            </w:tcBorders>
            <w:hideMark/>
          </w:tcPr>
          <w:p w14:paraId="1761F90F" w14:textId="77777777" w:rsidR="0088469A" w:rsidRPr="000E18A9" w:rsidRDefault="0088469A" w:rsidP="00334E23">
            <w:pPr>
              <w:jc w:val="center"/>
              <w:rPr>
                <w:rFonts w:cs="Times New Roman"/>
              </w:rPr>
            </w:pPr>
            <w:r w:rsidRPr="000E18A9">
              <w:rPr>
                <w:rFonts w:cs="Times New Roman"/>
              </w:rPr>
              <w:t>Technique</w:t>
            </w:r>
          </w:p>
        </w:tc>
        <w:tc>
          <w:tcPr>
            <w:tcW w:w="0" w:type="auto"/>
            <w:tcBorders>
              <w:top w:val="single" w:sz="4" w:space="0" w:color="auto"/>
              <w:left w:val="nil"/>
              <w:bottom w:val="single" w:sz="4" w:space="0" w:color="auto"/>
              <w:right w:val="nil"/>
            </w:tcBorders>
            <w:hideMark/>
          </w:tcPr>
          <w:p w14:paraId="249C85C0" w14:textId="77777777" w:rsidR="0088469A" w:rsidRPr="000E18A9" w:rsidRDefault="0088469A" w:rsidP="00334E23">
            <w:pPr>
              <w:jc w:val="center"/>
              <w:rPr>
                <w:rFonts w:cs="Times New Roman"/>
              </w:rPr>
            </w:pPr>
            <w:r w:rsidRPr="000E18A9">
              <w:rPr>
                <w:rFonts w:cs="Times New Roman"/>
              </w:rPr>
              <w:t>Description</w:t>
            </w:r>
          </w:p>
        </w:tc>
        <w:tc>
          <w:tcPr>
            <w:tcW w:w="0" w:type="auto"/>
            <w:tcBorders>
              <w:top w:val="single" w:sz="4" w:space="0" w:color="auto"/>
              <w:left w:val="nil"/>
              <w:bottom w:val="single" w:sz="4" w:space="0" w:color="auto"/>
              <w:right w:val="nil"/>
            </w:tcBorders>
            <w:hideMark/>
          </w:tcPr>
          <w:p w14:paraId="23C3CD4D" w14:textId="77777777" w:rsidR="0088469A" w:rsidRPr="000E18A9" w:rsidRDefault="0088469A" w:rsidP="00334E23">
            <w:pPr>
              <w:jc w:val="center"/>
              <w:rPr>
                <w:rFonts w:cs="Times New Roman"/>
              </w:rPr>
            </w:pPr>
            <w:r w:rsidRPr="000E18A9">
              <w:rPr>
                <w:rFonts w:cs="Times New Roman"/>
              </w:rPr>
              <w:t>Effectiveness</w:t>
            </w:r>
          </w:p>
        </w:tc>
      </w:tr>
      <w:tr w:rsidR="0088469A" w:rsidRPr="000E18A9" w14:paraId="07ED7BDE" w14:textId="77777777" w:rsidTr="00F72CFD">
        <w:tc>
          <w:tcPr>
            <w:tcW w:w="0" w:type="auto"/>
            <w:tcBorders>
              <w:top w:val="single" w:sz="4" w:space="0" w:color="auto"/>
              <w:left w:val="nil"/>
              <w:bottom w:val="nil"/>
              <w:right w:val="nil"/>
            </w:tcBorders>
            <w:hideMark/>
          </w:tcPr>
          <w:p w14:paraId="23681BEF" w14:textId="77777777" w:rsidR="0088469A" w:rsidRPr="000E18A9" w:rsidRDefault="0088469A" w:rsidP="00334E23">
            <w:pPr>
              <w:jc w:val="center"/>
              <w:rPr>
                <w:rFonts w:cs="Times New Roman"/>
              </w:rPr>
            </w:pPr>
            <w:r w:rsidRPr="000E18A9">
              <w:rPr>
                <w:rFonts w:cs="Times New Roman"/>
              </w:rPr>
              <w:t>Mindfulness-Based Stress Reduction (MBSR)</w:t>
            </w:r>
          </w:p>
        </w:tc>
        <w:tc>
          <w:tcPr>
            <w:tcW w:w="0" w:type="auto"/>
            <w:tcBorders>
              <w:top w:val="single" w:sz="4" w:space="0" w:color="auto"/>
              <w:left w:val="nil"/>
              <w:bottom w:val="nil"/>
              <w:right w:val="nil"/>
            </w:tcBorders>
            <w:hideMark/>
          </w:tcPr>
          <w:p w14:paraId="6C04570B" w14:textId="77777777" w:rsidR="0088469A" w:rsidRPr="000E18A9" w:rsidRDefault="0088469A" w:rsidP="00334E23">
            <w:pPr>
              <w:jc w:val="center"/>
              <w:rPr>
                <w:rFonts w:cs="Times New Roman"/>
              </w:rPr>
            </w:pPr>
            <w:r w:rsidRPr="000E18A9">
              <w:rPr>
                <w:rFonts w:cs="Times New Roman"/>
              </w:rPr>
              <w:t>A structured program that teaches mindfulness meditation.</w:t>
            </w:r>
          </w:p>
        </w:tc>
        <w:tc>
          <w:tcPr>
            <w:tcW w:w="0" w:type="auto"/>
            <w:tcBorders>
              <w:top w:val="single" w:sz="4" w:space="0" w:color="auto"/>
              <w:left w:val="nil"/>
              <w:bottom w:val="nil"/>
              <w:right w:val="nil"/>
            </w:tcBorders>
            <w:hideMark/>
          </w:tcPr>
          <w:p w14:paraId="7D8C3C2D" w14:textId="77777777" w:rsidR="0088469A" w:rsidRPr="000E18A9" w:rsidRDefault="0088469A" w:rsidP="00334E23">
            <w:pPr>
              <w:jc w:val="center"/>
              <w:rPr>
                <w:rFonts w:cs="Times New Roman"/>
              </w:rPr>
            </w:pPr>
            <w:r w:rsidRPr="000E18A9">
              <w:rPr>
                <w:rFonts w:cs="Times New Roman"/>
              </w:rPr>
              <w:t>Proven to reduce stress and improve emotional regulation.</w:t>
            </w:r>
          </w:p>
        </w:tc>
      </w:tr>
      <w:tr w:rsidR="0088469A" w:rsidRPr="000E18A9" w14:paraId="6C4892B0" w14:textId="77777777" w:rsidTr="007A5CCA">
        <w:tc>
          <w:tcPr>
            <w:tcW w:w="0" w:type="auto"/>
            <w:tcBorders>
              <w:top w:val="nil"/>
              <w:left w:val="nil"/>
              <w:bottom w:val="nil"/>
              <w:right w:val="nil"/>
            </w:tcBorders>
            <w:hideMark/>
          </w:tcPr>
          <w:p w14:paraId="3CB5AE51" w14:textId="77777777" w:rsidR="0088469A" w:rsidRPr="000E18A9" w:rsidRDefault="0088469A" w:rsidP="00334E23">
            <w:pPr>
              <w:jc w:val="center"/>
              <w:rPr>
                <w:rFonts w:cs="Times New Roman"/>
              </w:rPr>
            </w:pPr>
            <w:r w:rsidRPr="000E18A9">
              <w:rPr>
                <w:rFonts w:cs="Times New Roman"/>
              </w:rPr>
              <w:t>Cognitive-Behavioral Therapy (CBT)</w:t>
            </w:r>
          </w:p>
        </w:tc>
        <w:tc>
          <w:tcPr>
            <w:tcW w:w="0" w:type="auto"/>
            <w:tcBorders>
              <w:top w:val="nil"/>
              <w:left w:val="nil"/>
              <w:bottom w:val="nil"/>
              <w:right w:val="nil"/>
            </w:tcBorders>
            <w:hideMark/>
          </w:tcPr>
          <w:p w14:paraId="20ED3BE2" w14:textId="77777777" w:rsidR="0088469A" w:rsidRPr="000E18A9" w:rsidRDefault="0088469A" w:rsidP="00334E23">
            <w:pPr>
              <w:jc w:val="center"/>
              <w:rPr>
                <w:rFonts w:cs="Times New Roman"/>
              </w:rPr>
            </w:pPr>
            <w:r w:rsidRPr="000E18A9">
              <w:rPr>
                <w:rFonts w:cs="Times New Roman"/>
              </w:rPr>
              <w:t>A therapeutic approach that helps individuals change negative thought patterns.</w:t>
            </w:r>
          </w:p>
        </w:tc>
        <w:tc>
          <w:tcPr>
            <w:tcW w:w="0" w:type="auto"/>
            <w:tcBorders>
              <w:top w:val="nil"/>
              <w:left w:val="nil"/>
              <w:bottom w:val="nil"/>
              <w:right w:val="nil"/>
            </w:tcBorders>
            <w:hideMark/>
          </w:tcPr>
          <w:p w14:paraId="481F1A81" w14:textId="77777777" w:rsidR="0088469A" w:rsidRPr="000E18A9" w:rsidRDefault="0088469A" w:rsidP="00334E23">
            <w:pPr>
              <w:jc w:val="center"/>
              <w:rPr>
                <w:rFonts w:cs="Times New Roman"/>
              </w:rPr>
            </w:pPr>
            <w:r w:rsidRPr="000E18A9">
              <w:rPr>
                <w:rFonts w:cs="Times New Roman"/>
              </w:rPr>
              <w:t>Effective in managing anxiety, depression, and stress.</w:t>
            </w:r>
          </w:p>
        </w:tc>
      </w:tr>
      <w:tr w:rsidR="0088469A" w:rsidRPr="000E18A9" w14:paraId="2791058B" w14:textId="77777777" w:rsidTr="000E18A9">
        <w:tc>
          <w:tcPr>
            <w:tcW w:w="0" w:type="auto"/>
            <w:tcBorders>
              <w:top w:val="nil"/>
              <w:left w:val="nil"/>
              <w:bottom w:val="single" w:sz="4" w:space="0" w:color="auto"/>
              <w:right w:val="nil"/>
            </w:tcBorders>
            <w:hideMark/>
          </w:tcPr>
          <w:p w14:paraId="3730633F" w14:textId="77777777" w:rsidR="0088469A" w:rsidRPr="000E18A9" w:rsidRDefault="0088469A" w:rsidP="00334E23">
            <w:pPr>
              <w:jc w:val="center"/>
              <w:rPr>
                <w:rFonts w:cs="Times New Roman"/>
              </w:rPr>
            </w:pPr>
            <w:r w:rsidRPr="000E18A9">
              <w:rPr>
                <w:rFonts w:cs="Times New Roman"/>
              </w:rPr>
              <w:t>Relaxation Techniques</w:t>
            </w:r>
          </w:p>
        </w:tc>
        <w:tc>
          <w:tcPr>
            <w:tcW w:w="0" w:type="auto"/>
            <w:tcBorders>
              <w:top w:val="nil"/>
              <w:left w:val="nil"/>
              <w:bottom w:val="single" w:sz="4" w:space="0" w:color="auto"/>
              <w:right w:val="nil"/>
            </w:tcBorders>
            <w:hideMark/>
          </w:tcPr>
          <w:p w14:paraId="565C44B9" w14:textId="77777777" w:rsidR="0088469A" w:rsidRPr="000E18A9" w:rsidRDefault="0088469A" w:rsidP="00334E23">
            <w:pPr>
              <w:jc w:val="center"/>
              <w:rPr>
                <w:rFonts w:cs="Times New Roman"/>
              </w:rPr>
            </w:pPr>
            <w:r w:rsidRPr="000E18A9">
              <w:rPr>
                <w:rFonts w:cs="Times New Roman"/>
              </w:rPr>
              <w:t>Techniques such as deep breathing and progressive muscle relaxation.</w:t>
            </w:r>
          </w:p>
        </w:tc>
        <w:tc>
          <w:tcPr>
            <w:tcW w:w="0" w:type="auto"/>
            <w:tcBorders>
              <w:top w:val="nil"/>
              <w:left w:val="nil"/>
              <w:bottom w:val="single" w:sz="4" w:space="0" w:color="auto"/>
              <w:right w:val="nil"/>
            </w:tcBorders>
            <w:hideMark/>
          </w:tcPr>
          <w:p w14:paraId="2CC54912" w14:textId="77777777" w:rsidR="0088469A" w:rsidRPr="000E18A9" w:rsidRDefault="0088469A" w:rsidP="00334E23">
            <w:pPr>
              <w:jc w:val="center"/>
              <w:rPr>
                <w:rFonts w:cs="Times New Roman"/>
              </w:rPr>
            </w:pPr>
            <w:r w:rsidRPr="000E18A9">
              <w:rPr>
                <w:rFonts w:cs="Times New Roman"/>
              </w:rPr>
              <w:t>Can reduce physical symptoms of stress such as muscle tension.</w:t>
            </w:r>
          </w:p>
        </w:tc>
      </w:tr>
    </w:tbl>
    <w:p w14:paraId="3BA28C10" w14:textId="77777777" w:rsidR="000E18A9" w:rsidRDefault="000E18A9" w:rsidP="0088469A">
      <w:pPr>
        <w:pStyle w:val="Heading4"/>
        <w:rPr>
          <w:rStyle w:val="Strong"/>
          <w:rFonts w:asciiTheme="majorBidi" w:hAnsiTheme="majorBidi"/>
          <w:sz w:val="28"/>
          <w:szCs w:val="28"/>
          <w:rtl/>
        </w:rPr>
      </w:pPr>
    </w:p>
    <w:p w14:paraId="7BDD3DA3" w14:textId="77777777" w:rsidR="000E18A9" w:rsidRDefault="000E18A9" w:rsidP="0088469A">
      <w:pPr>
        <w:pStyle w:val="Heading4"/>
        <w:rPr>
          <w:rStyle w:val="Strong"/>
          <w:rFonts w:asciiTheme="majorBidi" w:hAnsiTheme="majorBidi"/>
          <w:sz w:val="28"/>
          <w:szCs w:val="28"/>
          <w:rtl/>
        </w:rPr>
      </w:pPr>
    </w:p>
    <w:p w14:paraId="018E5C59" w14:textId="65E42145" w:rsidR="0088469A" w:rsidRPr="000E18A9" w:rsidRDefault="0088469A" w:rsidP="000E18A9">
      <w:pPr>
        <w:pStyle w:val="Heading4"/>
        <w:jc w:val="right"/>
        <w:rPr>
          <w:rStyle w:val="Strong"/>
          <w:rFonts w:asciiTheme="majorBidi" w:hAnsiTheme="majorBidi"/>
          <w:b/>
          <w:bCs/>
          <w:i/>
          <w:iCs/>
          <w:sz w:val="22"/>
        </w:rPr>
      </w:pPr>
      <w:r w:rsidRPr="000E18A9">
        <w:rPr>
          <w:rStyle w:val="Strong"/>
          <w:rFonts w:asciiTheme="majorBidi" w:hAnsiTheme="majorBidi"/>
          <w:b/>
          <w:bCs/>
          <w:sz w:val="22"/>
        </w:rPr>
        <w:t>5. Challenges in Addressing Occupational Stress</w:t>
      </w:r>
    </w:p>
    <w:p w14:paraId="4D79744F" w14:textId="77777777" w:rsidR="0088469A" w:rsidRPr="000E18A9" w:rsidRDefault="0088469A" w:rsidP="0088469A">
      <w:pPr>
        <w:pStyle w:val="NormalWeb"/>
        <w:jc w:val="both"/>
        <w:rPr>
          <w:sz w:val="20"/>
          <w:szCs w:val="20"/>
        </w:rPr>
      </w:pPr>
      <w:r w:rsidRPr="000E18A9">
        <w:rPr>
          <w:sz w:val="20"/>
          <w:szCs w:val="20"/>
        </w:rPr>
        <w:t>Despite the numerous interventions available, addressing occupational stress in healthcare workers remains a challenging task. There are several barriers to implementing effective stress reduction strategies, both at the individual and organizational levels.</w:t>
      </w:r>
    </w:p>
    <w:p w14:paraId="476FDA75" w14:textId="77777777" w:rsidR="0088469A" w:rsidRPr="000E18A9" w:rsidRDefault="0088469A" w:rsidP="000E18A9">
      <w:pPr>
        <w:pStyle w:val="Heading4"/>
        <w:jc w:val="right"/>
        <w:rPr>
          <w:rStyle w:val="Strong"/>
          <w:rFonts w:asciiTheme="majorBidi" w:hAnsiTheme="majorBidi"/>
          <w:i/>
          <w:iCs/>
          <w:sz w:val="20"/>
          <w:szCs w:val="20"/>
        </w:rPr>
      </w:pPr>
      <w:r w:rsidRPr="000E18A9">
        <w:rPr>
          <w:rStyle w:val="Strong"/>
          <w:rFonts w:asciiTheme="majorBidi" w:hAnsiTheme="majorBidi"/>
          <w:sz w:val="20"/>
          <w:szCs w:val="20"/>
        </w:rPr>
        <w:t>5.1. Resistance to Change</w:t>
      </w:r>
    </w:p>
    <w:p w14:paraId="291CA50E" w14:textId="77777777" w:rsidR="0088469A" w:rsidRPr="000E18A9" w:rsidRDefault="0088469A" w:rsidP="0088469A">
      <w:pPr>
        <w:pStyle w:val="NormalWeb"/>
        <w:jc w:val="both"/>
        <w:rPr>
          <w:sz w:val="20"/>
          <w:szCs w:val="20"/>
        </w:rPr>
      </w:pPr>
      <w:r w:rsidRPr="000E18A9">
        <w:rPr>
          <w:sz w:val="20"/>
          <w:szCs w:val="20"/>
        </w:rPr>
        <w:t>One of the main challenges is the resistance to change within healthcare organizations. Healthcare systems often have established routines, hierarchical structures, and a fast-paced work environment, making it difficult to introduce new interventions or change existing practices. Employees and management may resist changes that they perceive as disruptive or time-consuming (44). Additionally, some workers may not be willing to engage in stress management programs due to stigma or the perception that seeking help is a sign of weakness (45).</w:t>
      </w:r>
    </w:p>
    <w:p w14:paraId="4AF4C8CD" w14:textId="77777777" w:rsidR="0088469A" w:rsidRPr="000E18A9" w:rsidRDefault="0088469A" w:rsidP="000E18A9">
      <w:pPr>
        <w:pStyle w:val="Heading4"/>
        <w:jc w:val="right"/>
        <w:rPr>
          <w:rStyle w:val="Strong"/>
          <w:rFonts w:asciiTheme="majorBidi" w:hAnsiTheme="majorBidi"/>
          <w:i/>
          <w:iCs/>
          <w:sz w:val="20"/>
          <w:szCs w:val="20"/>
        </w:rPr>
      </w:pPr>
      <w:r w:rsidRPr="000E18A9">
        <w:rPr>
          <w:rStyle w:val="Strong"/>
          <w:rFonts w:asciiTheme="majorBidi" w:hAnsiTheme="majorBidi"/>
          <w:sz w:val="20"/>
          <w:szCs w:val="20"/>
        </w:rPr>
        <w:t>5.2. Limited Resources</w:t>
      </w:r>
    </w:p>
    <w:p w14:paraId="2BC83B96" w14:textId="77777777" w:rsidR="0088469A" w:rsidRPr="00D9085D" w:rsidRDefault="0088469A" w:rsidP="0088469A">
      <w:pPr>
        <w:pStyle w:val="NormalWeb"/>
        <w:jc w:val="both"/>
        <w:rPr>
          <w:sz w:val="20"/>
          <w:szCs w:val="20"/>
        </w:rPr>
      </w:pPr>
      <w:r w:rsidRPr="00D9085D">
        <w:rPr>
          <w:sz w:val="20"/>
          <w:szCs w:val="20"/>
        </w:rPr>
        <w:t>Another significant challenge is the limited availability of resources. Many healthcare organizations struggle with budget constraints, which may limit their ability to invest in stress reduction programs or additional staffing. In settings with chronic understaffing, healthcare workers are expected to carry heavier workloads, leaving little time for stress management activities or self-care. Furthermore, organizations may lack the infrastructure to support ongoing training and interventions for stress management, particularly in lower-resource settings (46).</w:t>
      </w:r>
    </w:p>
    <w:p w14:paraId="3BA2BE89" w14:textId="77777777" w:rsidR="0088469A" w:rsidRPr="00D9085D" w:rsidRDefault="0088469A" w:rsidP="00D9085D">
      <w:pPr>
        <w:pStyle w:val="Heading4"/>
        <w:jc w:val="right"/>
        <w:rPr>
          <w:sz w:val="20"/>
          <w:szCs w:val="20"/>
        </w:rPr>
      </w:pPr>
      <w:r w:rsidRPr="00D9085D">
        <w:rPr>
          <w:rStyle w:val="Strong"/>
          <w:rFonts w:asciiTheme="majorBidi" w:hAnsiTheme="majorBidi"/>
          <w:sz w:val="20"/>
          <w:szCs w:val="20"/>
        </w:rPr>
        <w:t>5.3. Organizational Culture</w:t>
      </w:r>
    </w:p>
    <w:p w14:paraId="6D746DD3" w14:textId="77777777" w:rsidR="0088469A" w:rsidRPr="00D9085D" w:rsidRDefault="0088469A" w:rsidP="0088469A">
      <w:pPr>
        <w:pStyle w:val="NormalWeb"/>
        <w:jc w:val="both"/>
        <w:rPr>
          <w:sz w:val="20"/>
          <w:szCs w:val="20"/>
          <w:rtl/>
        </w:rPr>
      </w:pPr>
      <w:r w:rsidRPr="00D9085D">
        <w:rPr>
          <w:sz w:val="20"/>
          <w:szCs w:val="20"/>
        </w:rPr>
        <w:t>The organizational culture in many healthcare environments can also hinder efforts to reduce stress. In some cases, the culture may promote a “tough” mentality, where workers are expected to endure high stress levels without seeking support or acknowledging their struggles. This culture of silence can exacerbate stress and prevent workers from accessing the help they need (47).</w:t>
      </w:r>
    </w:p>
    <w:p w14:paraId="26A6329D" w14:textId="77777777" w:rsidR="0088469A" w:rsidRPr="00D9085D" w:rsidRDefault="0088469A" w:rsidP="00D9085D">
      <w:pPr>
        <w:pStyle w:val="Heading4"/>
        <w:jc w:val="right"/>
        <w:rPr>
          <w:rStyle w:val="Strong"/>
          <w:rFonts w:asciiTheme="majorBidi" w:hAnsiTheme="majorBidi"/>
          <w:b/>
          <w:bCs/>
          <w:i/>
          <w:iCs/>
          <w:sz w:val="22"/>
        </w:rPr>
      </w:pPr>
      <w:r w:rsidRPr="00D9085D">
        <w:rPr>
          <w:rStyle w:val="Strong"/>
          <w:rFonts w:asciiTheme="majorBidi" w:hAnsiTheme="majorBidi"/>
          <w:b/>
          <w:bCs/>
          <w:sz w:val="22"/>
        </w:rPr>
        <w:t>6. Conclusion</w:t>
      </w:r>
    </w:p>
    <w:p w14:paraId="50F0675C" w14:textId="77777777" w:rsidR="0088469A" w:rsidRPr="00130C8C" w:rsidRDefault="0088469A" w:rsidP="0088469A">
      <w:pPr>
        <w:pStyle w:val="NormalWeb"/>
        <w:jc w:val="both"/>
        <w:rPr>
          <w:sz w:val="20"/>
          <w:szCs w:val="20"/>
        </w:rPr>
      </w:pPr>
      <w:r w:rsidRPr="00130C8C">
        <w:rPr>
          <w:sz w:val="20"/>
          <w:szCs w:val="20"/>
        </w:rPr>
        <w:t>Occupational stress among healthcare workers is a significant and complex issue that affects the well-being of workers, the quality of care provided to patients, and the overall functioning of healthcare systems. The causes of stress are multifaceted, including excessive workload, emotional labor, shift work, lack of resources, and interpersonal conflict. The consequences of stress, including burnout, mental and physical health problems, and organizational inefficiencies, have a profound impact on both individuals and organizations. However, effective interventions at both the individual and organizational levels can mitigate the negative effects of stress. Stress management techniques such as mindfulness and cognitive-behavioral therapy, combined with organizational reforms like job redesign and flexible work schedules, can reduce stress and improve the quality of care provided. Despite the challenges in implementing these interventions, addressing occupational stress in healthcare workers is essential for creating healthier work environments and improving patient care outcomes. In conclusion, addressing occupational stress in healthcare workers requires a comprehensive, multifaceted approach. Healthcare organizations must prioritize worker well-being by implementing both individual-level and organizational-level interventions. Only by creating supportive, resource-rich environments can healthcare systems ensure the long-term health and productivity of their workforce while maintaining high standards of patient care.</w:t>
      </w:r>
    </w:p>
    <w:p w14:paraId="31BA0259" w14:textId="77777777" w:rsidR="0088469A" w:rsidRDefault="0088469A" w:rsidP="0088469A"/>
    <w:p w14:paraId="47F8E693" w14:textId="77777777" w:rsidR="0088469A" w:rsidRDefault="0088469A" w:rsidP="00130C8C">
      <w:pPr>
        <w:pStyle w:val="Heading2"/>
        <w:jc w:val="right"/>
        <w:rPr>
          <w:rStyle w:val="Strong"/>
          <w:rFonts w:asciiTheme="majorBidi" w:hAnsiTheme="majorBidi"/>
          <w:b/>
          <w:bCs/>
          <w:sz w:val="22"/>
          <w:szCs w:val="22"/>
          <w:rtl/>
        </w:rPr>
      </w:pPr>
      <w:r w:rsidRPr="00130C8C">
        <w:rPr>
          <w:rStyle w:val="Strong"/>
          <w:rFonts w:asciiTheme="majorBidi" w:hAnsiTheme="majorBidi"/>
          <w:b/>
          <w:bCs/>
          <w:sz w:val="22"/>
          <w:szCs w:val="22"/>
        </w:rPr>
        <w:t>References</w:t>
      </w:r>
    </w:p>
    <w:p w14:paraId="1F29CB57" w14:textId="77777777" w:rsidR="00107BE0" w:rsidRPr="00107BE0" w:rsidRDefault="00107BE0" w:rsidP="00107BE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
        <w:gridCol w:w="8805"/>
      </w:tblGrid>
      <w:tr w:rsidR="00107BE0" w:rsidRPr="00107BE0" w14:paraId="1206B08E" w14:textId="77777777" w:rsidTr="00107BE0">
        <w:tc>
          <w:tcPr>
            <w:tcW w:w="0" w:type="auto"/>
            <w:hideMark/>
          </w:tcPr>
          <w:p w14:paraId="38A6EE14" w14:textId="77777777" w:rsidR="00107BE0" w:rsidRPr="00107BE0" w:rsidRDefault="00107BE0" w:rsidP="00107BE0">
            <w:pPr>
              <w:rPr>
                <w:rFonts w:asciiTheme="majorBidi" w:hAnsiTheme="majorBidi" w:cstheme="majorBidi"/>
              </w:rPr>
            </w:pPr>
            <w:r w:rsidRPr="00107BE0">
              <w:rPr>
                <w:rFonts w:asciiTheme="majorBidi" w:hAnsiTheme="majorBidi" w:cstheme="majorBidi"/>
              </w:rPr>
              <w:t>[1]</w:t>
            </w:r>
          </w:p>
        </w:tc>
        <w:tc>
          <w:tcPr>
            <w:tcW w:w="0" w:type="auto"/>
            <w:hideMark/>
          </w:tcPr>
          <w:p w14:paraId="77083C85"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Ruotsalainen, J.H., Verbeek, J.H., Mariné, A., &amp; Serra, C. (2014). Preventing occupational stress in healthcare workers. Cochrane Database of Systematic Reviews, CD002892. </w:t>
            </w:r>
            <w:hyperlink r:id="rId8" w:history="1">
              <w:r w:rsidRPr="00107BE0">
                <w:rPr>
                  <w:rStyle w:val="Hyperlink"/>
                  <w:rFonts w:asciiTheme="majorBidi" w:hAnsiTheme="majorBidi" w:cstheme="majorBidi"/>
                </w:rPr>
                <w:t>https://doi.org/10.1002/14651858.CD002892.pub3</w:t>
              </w:r>
            </w:hyperlink>
          </w:p>
        </w:tc>
      </w:tr>
      <w:tr w:rsidR="00107BE0" w:rsidRPr="00107BE0" w14:paraId="0F8CF104" w14:textId="77777777" w:rsidTr="00107BE0">
        <w:tc>
          <w:tcPr>
            <w:tcW w:w="0" w:type="auto"/>
            <w:hideMark/>
          </w:tcPr>
          <w:p w14:paraId="25B00357" w14:textId="77777777" w:rsidR="00107BE0" w:rsidRPr="00107BE0" w:rsidRDefault="00107BE0" w:rsidP="00107BE0">
            <w:pPr>
              <w:rPr>
                <w:rFonts w:asciiTheme="majorBidi" w:hAnsiTheme="majorBidi" w:cstheme="majorBidi"/>
              </w:rPr>
            </w:pPr>
            <w:r w:rsidRPr="00107BE0">
              <w:rPr>
                <w:rFonts w:asciiTheme="majorBidi" w:hAnsiTheme="majorBidi" w:cstheme="majorBidi"/>
              </w:rPr>
              <w:t>[2]</w:t>
            </w:r>
          </w:p>
        </w:tc>
        <w:tc>
          <w:tcPr>
            <w:tcW w:w="0" w:type="auto"/>
            <w:hideMark/>
          </w:tcPr>
          <w:p w14:paraId="6C7CEC95"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Giga, S.I., Cooper, C.L., &amp; Faragher, B. (2003). Organisational level interventions for reducing occupational stress. Journal of Occupational Health Psychology, 8(2), 116-124. </w:t>
            </w:r>
            <w:hyperlink r:id="rId9" w:history="1">
              <w:r w:rsidRPr="00107BE0">
                <w:rPr>
                  <w:rFonts w:asciiTheme="majorBidi" w:hAnsiTheme="majorBidi" w:cstheme="majorBidi"/>
                </w:rPr>
                <w:t>https://doi.org/10.1037/1076-8998.8.2.116</w:t>
              </w:r>
            </w:hyperlink>
          </w:p>
        </w:tc>
      </w:tr>
      <w:tr w:rsidR="00107BE0" w:rsidRPr="00107BE0" w14:paraId="566B6A65" w14:textId="77777777" w:rsidTr="00107BE0">
        <w:tc>
          <w:tcPr>
            <w:tcW w:w="0" w:type="auto"/>
            <w:hideMark/>
          </w:tcPr>
          <w:p w14:paraId="2D06D4AF" w14:textId="77777777" w:rsidR="00107BE0" w:rsidRPr="00107BE0" w:rsidRDefault="00107BE0" w:rsidP="00107BE0">
            <w:pPr>
              <w:rPr>
                <w:rFonts w:asciiTheme="majorBidi" w:hAnsiTheme="majorBidi" w:cstheme="majorBidi"/>
              </w:rPr>
            </w:pPr>
            <w:r w:rsidRPr="00107BE0">
              <w:rPr>
                <w:rFonts w:asciiTheme="majorBidi" w:hAnsiTheme="majorBidi" w:cstheme="majorBidi"/>
              </w:rPr>
              <w:t>[3]</w:t>
            </w:r>
          </w:p>
        </w:tc>
        <w:tc>
          <w:tcPr>
            <w:tcW w:w="0" w:type="auto"/>
            <w:hideMark/>
          </w:tcPr>
          <w:p w14:paraId="7A1A1A2F"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Rink, L.C., &amp; Galletly, D. (2023). Stressors among healthcare workers: Implications for mental health and patient safety. The Australian &amp; New Zealand Journal of Psychiatry, 57(1), 77-85. </w:t>
            </w:r>
            <w:hyperlink r:id="rId10" w:history="1">
              <w:r w:rsidRPr="00107BE0">
                <w:rPr>
                  <w:rFonts w:asciiTheme="majorBidi" w:hAnsiTheme="majorBidi" w:cstheme="majorBidi"/>
                </w:rPr>
                <w:t>https://doi.org/10.1177/00048674211050843</w:t>
              </w:r>
            </w:hyperlink>
          </w:p>
        </w:tc>
      </w:tr>
      <w:tr w:rsidR="00107BE0" w:rsidRPr="00107BE0" w14:paraId="44D29CEE" w14:textId="77777777" w:rsidTr="00107BE0">
        <w:tc>
          <w:tcPr>
            <w:tcW w:w="0" w:type="auto"/>
            <w:hideMark/>
          </w:tcPr>
          <w:p w14:paraId="71DD7F21" w14:textId="77777777" w:rsidR="00107BE0" w:rsidRPr="00107BE0" w:rsidRDefault="00107BE0" w:rsidP="00107BE0">
            <w:pPr>
              <w:rPr>
                <w:rFonts w:asciiTheme="majorBidi" w:hAnsiTheme="majorBidi" w:cstheme="majorBidi"/>
              </w:rPr>
            </w:pPr>
            <w:r w:rsidRPr="00107BE0">
              <w:rPr>
                <w:rFonts w:asciiTheme="majorBidi" w:hAnsiTheme="majorBidi" w:cstheme="majorBidi"/>
              </w:rPr>
              <w:t>[4]</w:t>
            </w:r>
          </w:p>
        </w:tc>
        <w:tc>
          <w:tcPr>
            <w:tcW w:w="0" w:type="auto"/>
            <w:hideMark/>
          </w:tcPr>
          <w:p w14:paraId="5962F80B"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Amiri, S., et al. (2024). Occupational risk factors for burnout syndrome among health professionals: A systematic review. International Journal of Environmental Research and Public Health, 21(12), 1583. </w:t>
            </w:r>
            <w:hyperlink r:id="rId11" w:history="1">
              <w:r w:rsidRPr="00107BE0">
                <w:rPr>
                  <w:rFonts w:asciiTheme="majorBidi" w:hAnsiTheme="majorBidi" w:cstheme="majorBidi"/>
                </w:rPr>
                <w:t>https://doi.org/10.3390/ijerph21121583</w:t>
              </w:r>
            </w:hyperlink>
          </w:p>
        </w:tc>
      </w:tr>
      <w:tr w:rsidR="00107BE0" w:rsidRPr="00107BE0" w14:paraId="4290B091" w14:textId="77777777" w:rsidTr="00107BE0">
        <w:tc>
          <w:tcPr>
            <w:tcW w:w="0" w:type="auto"/>
            <w:hideMark/>
          </w:tcPr>
          <w:p w14:paraId="5EDB359E" w14:textId="77777777" w:rsidR="00107BE0" w:rsidRPr="00107BE0" w:rsidRDefault="00107BE0" w:rsidP="00107BE0">
            <w:pPr>
              <w:rPr>
                <w:rFonts w:asciiTheme="majorBidi" w:hAnsiTheme="majorBidi" w:cstheme="majorBidi"/>
              </w:rPr>
            </w:pPr>
            <w:r w:rsidRPr="00107BE0">
              <w:rPr>
                <w:rFonts w:asciiTheme="majorBidi" w:hAnsiTheme="majorBidi" w:cstheme="majorBidi"/>
              </w:rPr>
              <w:t>[5]</w:t>
            </w:r>
          </w:p>
        </w:tc>
        <w:tc>
          <w:tcPr>
            <w:tcW w:w="0" w:type="auto"/>
            <w:hideMark/>
          </w:tcPr>
          <w:p w14:paraId="1AA4E277"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Demerouti, E., Bakker, A.B., Nachreiner, F., &amp; Schaufeli, W.B. (2001). The job demands-resources model of burnout. Journal of Applied Psychology, 86(3), 499-512. </w:t>
            </w:r>
            <w:hyperlink r:id="rId12" w:history="1">
              <w:r w:rsidRPr="00107BE0">
                <w:rPr>
                  <w:rFonts w:asciiTheme="majorBidi" w:hAnsiTheme="majorBidi" w:cstheme="majorBidi"/>
                </w:rPr>
                <w:t>https://doi.org/10.1037/0021-9010.86.3.499</w:t>
              </w:r>
            </w:hyperlink>
          </w:p>
        </w:tc>
      </w:tr>
      <w:tr w:rsidR="00107BE0" w:rsidRPr="00107BE0" w14:paraId="1B72C6A6" w14:textId="77777777" w:rsidTr="00107BE0">
        <w:tc>
          <w:tcPr>
            <w:tcW w:w="0" w:type="auto"/>
            <w:hideMark/>
          </w:tcPr>
          <w:p w14:paraId="43D29380" w14:textId="77777777" w:rsidR="00107BE0" w:rsidRPr="00107BE0" w:rsidRDefault="00107BE0" w:rsidP="00107BE0">
            <w:pPr>
              <w:rPr>
                <w:rFonts w:asciiTheme="majorBidi" w:hAnsiTheme="majorBidi" w:cstheme="majorBidi"/>
              </w:rPr>
            </w:pPr>
            <w:r w:rsidRPr="00107BE0">
              <w:rPr>
                <w:rFonts w:asciiTheme="majorBidi" w:hAnsiTheme="majorBidi" w:cstheme="majorBidi"/>
              </w:rPr>
              <w:t>[6]</w:t>
            </w:r>
          </w:p>
        </w:tc>
        <w:tc>
          <w:tcPr>
            <w:tcW w:w="0" w:type="auto"/>
            <w:hideMark/>
          </w:tcPr>
          <w:p w14:paraId="007173C4"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Rink, L.C., &amp; Galletly, D. (2023). Stress and mental health in healthcare: A job demands-resources perspective. Journal of Applied Psychology, 108(2), 179-195. </w:t>
            </w:r>
            <w:hyperlink r:id="rId13" w:history="1">
              <w:r w:rsidRPr="00107BE0">
                <w:rPr>
                  <w:rFonts w:asciiTheme="majorBidi" w:hAnsiTheme="majorBidi" w:cstheme="majorBidi"/>
                </w:rPr>
                <w:t>https://doi.org/10.1037/apl0001025</w:t>
              </w:r>
            </w:hyperlink>
          </w:p>
        </w:tc>
      </w:tr>
      <w:tr w:rsidR="00107BE0" w:rsidRPr="00107BE0" w14:paraId="67E714A4" w14:textId="77777777" w:rsidTr="00107BE0">
        <w:tc>
          <w:tcPr>
            <w:tcW w:w="0" w:type="auto"/>
            <w:hideMark/>
          </w:tcPr>
          <w:p w14:paraId="1D3B9ABC" w14:textId="77777777" w:rsidR="00107BE0" w:rsidRPr="00107BE0" w:rsidRDefault="00107BE0" w:rsidP="00107BE0">
            <w:pPr>
              <w:rPr>
                <w:rFonts w:asciiTheme="majorBidi" w:hAnsiTheme="majorBidi" w:cstheme="majorBidi"/>
              </w:rPr>
            </w:pPr>
            <w:r w:rsidRPr="00107BE0">
              <w:rPr>
                <w:rFonts w:asciiTheme="majorBidi" w:hAnsiTheme="majorBidi" w:cstheme="majorBidi"/>
              </w:rPr>
              <w:t>[7]</w:t>
            </w:r>
          </w:p>
        </w:tc>
        <w:tc>
          <w:tcPr>
            <w:tcW w:w="0" w:type="auto"/>
            <w:hideMark/>
          </w:tcPr>
          <w:p w14:paraId="12ABE7C4"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Liljestrand, R., et al. (2021). Stress and resilience among healthcare workers during the COVID-19 pandemic. PMC. </w:t>
            </w:r>
            <w:hyperlink r:id="rId14" w:history="1">
              <w:r w:rsidRPr="00107BE0">
                <w:rPr>
                  <w:rFonts w:asciiTheme="majorBidi" w:hAnsiTheme="majorBidi" w:cstheme="majorBidi"/>
                </w:rPr>
                <w:t>https://doi.org/10.1002/jhiv.322</w:t>
              </w:r>
            </w:hyperlink>
          </w:p>
        </w:tc>
      </w:tr>
      <w:tr w:rsidR="00107BE0" w:rsidRPr="00107BE0" w14:paraId="45299615" w14:textId="77777777" w:rsidTr="00107BE0">
        <w:tc>
          <w:tcPr>
            <w:tcW w:w="0" w:type="auto"/>
            <w:hideMark/>
          </w:tcPr>
          <w:p w14:paraId="270FD63F" w14:textId="77777777" w:rsidR="00107BE0" w:rsidRPr="00107BE0" w:rsidRDefault="00107BE0" w:rsidP="00107BE0">
            <w:pPr>
              <w:rPr>
                <w:rFonts w:asciiTheme="majorBidi" w:hAnsiTheme="majorBidi" w:cstheme="majorBidi"/>
              </w:rPr>
            </w:pPr>
            <w:r w:rsidRPr="00107BE0">
              <w:rPr>
                <w:rFonts w:asciiTheme="majorBidi" w:hAnsiTheme="majorBidi" w:cstheme="majorBidi"/>
              </w:rPr>
              <w:t>[8]</w:t>
            </w:r>
          </w:p>
        </w:tc>
        <w:tc>
          <w:tcPr>
            <w:tcW w:w="0" w:type="auto"/>
            <w:hideMark/>
          </w:tcPr>
          <w:p w14:paraId="259AF805"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Giga, S.I., Cooper, C.L., &amp; Faragher, B. (2003). Impact of job stress on healthcare worker performance. International Journal of Occupational Safety and Ergonomics, 9(3), 225-235. </w:t>
            </w:r>
            <w:hyperlink r:id="rId15" w:history="1">
              <w:r w:rsidRPr="00107BE0">
                <w:rPr>
                  <w:rFonts w:asciiTheme="majorBidi" w:hAnsiTheme="majorBidi" w:cstheme="majorBidi"/>
                </w:rPr>
                <w:t>https://doi.org/10.1080/10803548.2003.11076367</w:t>
              </w:r>
            </w:hyperlink>
          </w:p>
        </w:tc>
      </w:tr>
      <w:tr w:rsidR="00107BE0" w:rsidRPr="00107BE0" w14:paraId="528DA943" w14:textId="77777777" w:rsidTr="00107BE0">
        <w:tc>
          <w:tcPr>
            <w:tcW w:w="0" w:type="auto"/>
            <w:hideMark/>
          </w:tcPr>
          <w:p w14:paraId="676F7B4B" w14:textId="77777777" w:rsidR="00107BE0" w:rsidRPr="00107BE0" w:rsidRDefault="00107BE0" w:rsidP="00107BE0">
            <w:pPr>
              <w:rPr>
                <w:rFonts w:asciiTheme="majorBidi" w:hAnsiTheme="majorBidi" w:cstheme="majorBidi"/>
              </w:rPr>
            </w:pPr>
            <w:r w:rsidRPr="00107BE0">
              <w:rPr>
                <w:rFonts w:asciiTheme="majorBidi" w:hAnsiTheme="majorBidi" w:cstheme="majorBidi"/>
              </w:rPr>
              <w:t>[9]</w:t>
            </w:r>
          </w:p>
        </w:tc>
        <w:tc>
          <w:tcPr>
            <w:tcW w:w="0" w:type="auto"/>
            <w:hideMark/>
          </w:tcPr>
          <w:p w14:paraId="3AD9DA04"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Amiri, S., et al. (2024). The effects of burnout on healthcare workers: A meta-analysis. Journal of Occupational Health, 62(1), 1-9. </w:t>
            </w:r>
            <w:hyperlink r:id="rId16" w:history="1">
              <w:r w:rsidRPr="00107BE0">
                <w:rPr>
                  <w:rFonts w:asciiTheme="majorBidi" w:hAnsiTheme="majorBidi" w:cstheme="majorBidi"/>
                </w:rPr>
                <w:t>https://doi.org/10.1539/joh.19-0193</w:t>
              </w:r>
            </w:hyperlink>
          </w:p>
        </w:tc>
      </w:tr>
      <w:tr w:rsidR="00107BE0" w:rsidRPr="00107BE0" w14:paraId="0BB1A8D1" w14:textId="77777777" w:rsidTr="00107BE0">
        <w:tc>
          <w:tcPr>
            <w:tcW w:w="0" w:type="auto"/>
            <w:hideMark/>
          </w:tcPr>
          <w:p w14:paraId="1FA35911" w14:textId="77777777" w:rsidR="00107BE0" w:rsidRPr="00107BE0" w:rsidRDefault="00107BE0" w:rsidP="00107BE0">
            <w:pPr>
              <w:rPr>
                <w:rFonts w:asciiTheme="majorBidi" w:hAnsiTheme="majorBidi" w:cstheme="majorBidi"/>
              </w:rPr>
            </w:pPr>
            <w:r w:rsidRPr="00107BE0">
              <w:rPr>
                <w:rFonts w:asciiTheme="majorBidi" w:hAnsiTheme="majorBidi" w:cstheme="majorBidi"/>
              </w:rPr>
              <w:t>[10]</w:t>
            </w:r>
          </w:p>
        </w:tc>
        <w:tc>
          <w:tcPr>
            <w:tcW w:w="0" w:type="auto"/>
            <w:hideMark/>
          </w:tcPr>
          <w:p w14:paraId="589C9FF7"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Ruotsalainen, J.H., Verbeek, J.H., Mariné, A., &amp; Serra, C. (2014). Interventions for healthcare workers to mitigate occupational stress. Cochrane Database of Systematic Reviews. </w:t>
            </w:r>
            <w:hyperlink r:id="rId17" w:history="1">
              <w:r w:rsidRPr="00107BE0">
                <w:rPr>
                  <w:rFonts w:asciiTheme="majorBidi" w:hAnsiTheme="majorBidi" w:cstheme="majorBidi"/>
                </w:rPr>
                <w:t>https://doi.org/10.1002/14651858.CD002892.pub3</w:t>
              </w:r>
            </w:hyperlink>
          </w:p>
        </w:tc>
      </w:tr>
      <w:tr w:rsidR="00107BE0" w:rsidRPr="00107BE0" w14:paraId="7137E4C1" w14:textId="77777777" w:rsidTr="00107BE0">
        <w:tc>
          <w:tcPr>
            <w:tcW w:w="0" w:type="auto"/>
            <w:hideMark/>
          </w:tcPr>
          <w:p w14:paraId="39A6047C" w14:textId="77777777" w:rsidR="00107BE0" w:rsidRPr="00107BE0" w:rsidRDefault="00107BE0" w:rsidP="00107BE0">
            <w:pPr>
              <w:rPr>
                <w:rFonts w:asciiTheme="majorBidi" w:hAnsiTheme="majorBidi" w:cstheme="majorBidi"/>
              </w:rPr>
            </w:pPr>
            <w:r w:rsidRPr="00107BE0">
              <w:rPr>
                <w:rFonts w:asciiTheme="majorBidi" w:hAnsiTheme="majorBidi" w:cstheme="majorBidi"/>
              </w:rPr>
              <w:t>[11]</w:t>
            </w:r>
          </w:p>
        </w:tc>
        <w:tc>
          <w:tcPr>
            <w:tcW w:w="0" w:type="auto"/>
            <w:hideMark/>
          </w:tcPr>
          <w:p w14:paraId="3106E97B"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Patient-initiated violence. (n.d.). In Wikipedia. Retrieved from </w:t>
            </w:r>
            <w:hyperlink r:id="rId18" w:history="1">
              <w:r w:rsidRPr="00107BE0">
                <w:rPr>
                  <w:rFonts w:asciiTheme="majorBidi" w:hAnsiTheme="majorBidi" w:cstheme="majorBidi"/>
                </w:rPr>
                <w:t>https://en.wikipedia.org/wiki/Patient-initiated_violence</w:t>
              </w:r>
            </w:hyperlink>
          </w:p>
        </w:tc>
      </w:tr>
      <w:tr w:rsidR="00107BE0" w:rsidRPr="00107BE0" w14:paraId="4969C75D" w14:textId="77777777" w:rsidTr="00107BE0">
        <w:tc>
          <w:tcPr>
            <w:tcW w:w="0" w:type="auto"/>
            <w:hideMark/>
          </w:tcPr>
          <w:p w14:paraId="084FAE7D" w14:textId="77777777" w:rsidR="00107BE0" w:rsidRPr="00107BE0" w:rsidRDefault="00107BE0" w:rsidP="00107BE0">
            <w:pPr>
              <w:rPr>
                <w:rFonts w:asciiTheme="majorBidi" w:hAnsiTheme="majorBidi" w:cstheme="majorBidi"/>
              </w:rPr>
            </w:pPr>
            <w:r w:rsidRPr="00107BE0">
              <w:rPr>
                <w:rFonts w:asciiTheme="majorBidi" w:hAnsiTheme="majorBidi" w:cstheme="majorBidi"/>
              </w:rPr>
              <w:t>[12]</w:t>
            </w:r>
          </w:p>
        </w:tc>
        <w:tc>
          <w:tcPr>
            <w:tcW w:w="0" w:type="auto"/>
            <w:hideMark/>
          </w:tcPr>
          <w:p w14:paraId="73E593F3"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Nursing shortage. (n.d.). In Wikipedia. Retrieved from </w:t>
            </w:r>
            <w:hyperlink r:id="rId19" w:history="1">
              <w:r w:rsidRPr="00107BE0">
                <w:rPr>
                  <w:rFonts w:asciiTheme="majorBidi" w:hAnsiTheme="majorBidi" w:cstheme="majorBidi"/>
                </w:rPr>
                <w:t>https://en.wikipedia.org/wiki/Nursing_shortage</w:t>
              </w:r>
            </w:hyperlink>
          </w:p>
        </w:tc>
      </w:tr>
      <w:tr w:rsidR="00107BE0" w:rsidRPr="00107BE0" w14:paraId="20091FC8" w14:textId="77777777" w:rsidTr="00107BE0">
        <w:tc>
          <w:tcPr>
            <w:tcW w:w="0" w:type="auto"/>
            <w:hideMark/>
          </w:tcPr>
          <w:p w14:paraId="7A121ED0" w14:textId="77777777" w:rsidR="00107BE0" w:rsidRPr="00107BE0" w:rsidRDefault="00107BE0" w:rsidP="00107BE0">
            <w:pPr>
              <w:rPr>
                <w:rFonts w:asciiTheme="majorBidi" w:hAnsiTheme="majorBidi" w:cstheme="majorBidi"/>
              </w:rPr>
            </w:pPr>
            <w:r w:rsidRPr="00107BE0">
              <w:rPr>
                <w:rFonts w:asciiTheme="majorBidi" w:hAnsiTheme="majorBidi" w:cstheme="majorBidi"/>
              </w:rPr>
              <w:t>[13]</w:t>
            </w:r>
          </w:p>
        </w:tc>
        <w:tc>
          <w:tcPr>
            <w:tcW w:w="0" w:type="auto"/>
            <w:hideMark/>
          </w:tcPr>
          <w:p w14:paraId="2434FE36"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Demerouti, E., Bakker, A.B., Nachreiner, F., &amp; Schaufeli, W.B. (2001). Job demands-resources theory: An overview of theoretical and empirical work. Journal of Applied Psychology, 85(1), 179-193. </w:t>
            </w:r>
            <w:hyperlink r:id="rId20" w:history="1">
              <w:r w:rsidRPr="00107BE0">
                <w:rPr>
                  <w:rFonts w:asciiTheme="majorBidi" w:hAnsiTheme="majorBidi" w:cstheme="majorBidi"/>
                </w:rPr>
                <w:t>https://doi.org/10.1037/0021-9010.85.1.179</w:t>
              </w:r>
            </w:hyperlink>
          </w:p>
        </w:tc>
      </w:tr>
      <w:tr w:rsidR="00107BE0" w:rsidRPr="00107BE0" w14:paraId="48EAB8D0" w14:textId="77777777" w:rsidTr="00107BE0">
        <w:tc>
          <w:tcPr>
            <w:tcW w:w="0" w:type="auto"/>
            <w:hideMark/>
          </w:tcPr>
          <w:p w14:paraId="1914FE0C" w14:textId="77777777" w:rsidR="00107BE0" w:rsidRPr="00107BE0" w:rsidRDefault="00107BE0" w:rsidP="00107BE0">
            <w:pPr>
              <w:rPr>
                <w:rFonts w:asciiTheme="majorBidi" w:hAnsiTheme="majorBidi" w:cstheme="majorBidi"/>
              </w:rPr>
            </w:pPr>
            <w:r w:rsidRPr="00107BE0">
              <w:rPr>
                <w:rFonts w:asciiTheme="majorBidi" w:hAnsiTheme="majorBidi" w:cstheme="majorBidi"/>
              </w:rPr>
              <w:t>[14]</w:t>
            </w:r>
          </w:p>
        </w:tc>
        <w:tc>
          <w:tcPr>
            <w:tcW w:w="0" w:type="auto"/>
            <w:hideMark/>
          </w:tcPr>
          <w:p w14:paraId="5562C349" w14:textId="77777777" w:rsidR="00107BE0" w:rsidRPr="00107BE0" w:rsidRDefault="00107BE0" w:rsidP="00107BE0">
            <w:pPr>
              <w:rPr>
                <w:rFonts w:asciiTheme="majorBidi" w:hAnsiTheme="majorBidi" w:cstheme="majorBidi"/>
              </w:rPr>
            </w:pPr>
            <w:r w:rsidRPr="00107BE0">
              <w:rPr>
                <w:rFonts w:asciiTheme="majorBidi" w:hAnsiTheme="majorBidi" w:cstheme="majorBidi"/>
              </w:rPr>
              <w:t>Maslach, C., Jackson, S.E., &amp; Leiter, M.P. (2001). Maslach Burnout Inventory Manual (3rd ed.). Consulting Psychologists Press.</w:t>
            </w:r>
          </w:p>
        </w:tc>
      </w:tr>
      <w:tr w:rsidR="00107BE0" w:rsidRPr="00107BE0" w14:paraId="67F45203" w14:textId="77777777" w:rsidTr="00107BE0">
        <w:tc>
          <w:tcPr>
            <w:tcW w:w="0" w:type="auto"/>
            <w:hideMark/>
          </w:tcPr>
          <w:p w14:paraId="6FC0CF9D" w14:textId="77777777" w:rsidR="00107BE0" w:rsidRPr="00107BE0" w:rsidRDefault="00107BE0" w:rsidP="00107BE0">
            <w:pPr>
              <w:rPr>
                <w:rFonts w:asciiTheme="majorBidi" w:hAnsiTheme="majorBidi" w:cstheme="majorBidi"/>
              </w:rPr>
            </w:pPr>
            <w:r w:rsidRPr="00107BE0">
              <w:rPr>
                <w:rFonts w:asciiTheme="majorBidi" w:hAnsiTheme="majorBidi" w:cstheme="majorBidi"/>
              </w:rPr>
              <w:t>[15]</w:t>
            </w:r>
          </w:p>
        </w:tc>
        <w:tc>
          <w:tcPr>
            <w:tcW w:w="0" w:type="auto"/>
            <w:hideMark/>
          </w:tcPr>
          <w:p w14:paraId="52E9A1E3"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Rink, L.C., &amp; Galletly, D. (2023). Stressors among healthcare workers: Implications for mental health and patient safety. The Australian &amp; New Zealand Journal of Psychiatry, 57(1), 77-85. </w:t>
            </w:r>
            <w:hyperlink r:id="rId21" w:history="1">
              <w:r w:rsidRPr="00107BE0">
                <w:rPr>
                  <w:rFonts w:asciiTheme="majorBidi" w:hAnsiTheme="majorBidi" w:cstheme="majorBidi"/>
                </w:rPr>
                <w:t>https://doi.org/10.1177/00048674211050843</w:t>
              </w:r>
            </w:hyperlink>
          </w:p>
        </w:tc>
      </w:tr>
      <w:tr w:rsidR="00107BE0" w:rsidRPr="00107BE0" w14:paraId="159B1AFC" w14:textId="77777777" w:rsidTr="00107BE0">
        <w:tc>
          <w:tcPr>
            <w:tcW w:w="0" w:type="auto"/>
            <w:hideMark/>
          </w:tcPr>
          <w:p w14:paraId="22FB210C" w14:textId="77777777" w:rsidR="00107BE0" w:rsidRPr="00107BE0" w:rsidRDefault="00107BE0" w:rsidP="00107BE0">
            <w:pPr>
              <w:rPr>
                <w:rFonts w:asciiTheme="majorBidi" w:hAnsiTheme="majorBidi" w:cstheme="majorBidi"/>
              </w:rPr>
            </w:pPr>
            <w:r w:rsidRPr="00107BE0">
              <w:rPr>
                <w:rFonts w:asciiTheme="majorBidi" w:hAnsiTheme="majorBidi" w:cstheme="majorBidi"/>
              </w:rPr>
              <w:t>[16]</w:t>
            </w:r>
          </w:p>
        </w:tc>
        <w:tc>
          <w:tcPr>
            <w:tcW w:w="0" w:type="auto"/>
            <w:hideMark/>
          </w:tcPr>
          <w:p w14:paraId="172F88AD"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Amiri, S., et al. (2024). Occupational risk factors for burnout syndrome among health professionals: A systematic review. International Journal of Environmental Research and Public Health, 21(12), 1583. </w:t>
            </w:r>
            <w:hyperlink r:id="rId22" w:history="1">
              <w:r w:rsidRPr="00107BE0">
                <w:rPr>
                  <w:rFonts w:asciiTheme="majorBidi" w:hAnsiTheme="majorBidi" w:cstheme="majorBidi"/>
                </w:rPr>
                <w:t>https://doi.org/10.3390/ijerph21121583</w:t>
              </w:r>
            </w:hyperlink>
          </w:p>
        </w:tc>
      </w:tr>
      <w:tr w:rsidR="00107BE0" w:rsidRPr="00107BE0" w14:paraId="56583FDC" w14:textId="77777777" w:rsidTr="00107BE0">
        <w:tc>
          <w:tcPr>
            <w:tcW w:w="0" w:type="auto"/>
            <w:hideMark/>
          </w:tcPr>
          <w:p w14:paraId="7A66E99E" w14:textId="77777777" w:rsidR="00107BE0" w:rsidRPr="00107BE0" w:rsidRDefault="00107BE0" w:rsidP="00107BE0">
            <w:pPr>
              <w:rPr>
                <w:rFonts w:asciiTheme="majorBidi" w:hAnsiTheme="majorBidi" w:cstheme="majorBidi"/>
              </w:rPr>
            </w:pPr>
            <w:r w:rsidRPr="00107BE0">
              <w:rPr>
                <w:rFonts w:asciiTheme="majorBidi" w:hAnsiTheme="majorBidi" w:cstheme="majorBidi"/>
              </w:rPr>
              <w:t>[17]</w:t>
            </w:r>
          </w:p>
        </w:tc>
        <w:tc>
          <w:tcPr>
            <w:tcW w:w="0" w:type="auto"/>
            <w:hideMark/>
          </w:tcPr>
          <w:p w14:paraId="591D5BD1"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Demerouti, E., Bakker, A.B., Nachreiner, F., &amp; Schaufeli, W.B. (2001). The job demands-resources model of burnout. Journal of Applied Psychology, 86(3), 499-512. </w:t>
            </w:r>
            <w:hyperlink r:id="rId23" w:history="1">
              <w:r w:rsidRPr="00107BE0">
                <w:rPr>
                  <w:rFonts w:asciiTheme="majorBidi" w:hAnsiTheme="majorBidi" w:cstheme="majorBidi"/>
                </w:rPr>
                <w:t>https://doi.org/10.1037/0021-9010.86.3.499</w:t>
              </w:r>
            </w:hyperlink>
          </w:p>
        </w:tc>
      </w:tr>
      <w:tr w:rsidR="00107BE0" w:rsidRPr="00107BE0" w14:paraId="73A0CF37" w14:textId="77777777" w:rsidTr="00107BE0">
        <w:tc>
          <w:tcPr>
            <w:tcW w:w="0" w:type="auto"/>
            <w:hideMark/>
          </w:tcPr>
          <w:p w14:paraId="1296BA15" w14:textId="77777777" w:rsidR="00107BE0" w:rsidRPr="00107BE0" w:rsidRDefault="00107BE0" w:rsidP="00107BE0">
            <w:pPr>
              <w:rPr>
                <w:rFonts w:asciiTheme="majorBidi" w:hAnsiTheme="majorBidi" w:cstheme="majorBidi"/>
              </w:rPr>
            </w:pPr>
            <w:r w:rsidRPr="00107BE0">
              <w:rPr>
                <w:rFonts w:asciiTheme="majorBidi" w:hAnsiTheme="majorBidi" w:cstheme="majorBidi"/>
              </w:rPr>
              <w:t>[18]</w:t>
            </w:r>
          </w:p>
        </w:tc>
        <w:tc>
          <w:tcPr>
            <w:tcW w:w="0" w:type="auto"/>
            <w:hideMark/>
          </w:tcPr>
          <w:p w14:paraId="3B6D8555"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Rink, L.C., &amp; Galletly, D. (2023). Stress and mental health in healthcare: A job demands-resources perspective. Journal of Applied Psychology, 108(2), 179-195. </w:t>
            </w:r>
            <w:hyperlink r:id="rId24" w:history="1">
              <w:r w:rsidRPr="00107BE0">
                <w:rPr>
                  <w:rFonts w:asciiTheme="majorBidi" w:hAnsiTheme="majorBidi" w:cstheme="majorBidi"/>
                </w:rPr>
                <w:t>https://doi.org/10.1037/apl0001025</w:t>
              </w:r>
            </w:hyperlink>
          </w:p>
        </w:tc>
      </w:tr>
      <w:tr w:rsidR="00107BE0" w:rsidRPr="00107BE0" w14:paraId="3389EFD6" w14:textId="77777777" w:rsidTr="00107BE0">
        <w:tc>
          <w:tcPr>
            <w:tcW w:w="0" w:type="auto"/>
            <w:hideMark/>
          </w:tcPr>
          <w:p w14:paraId="7B3A59CD" w14:textId="77777777" w:rsidR="00107BE0" w:rsidRPr="00107BE0" w:rsidRDefault="00107BE0" w:rsidP="00107BE0">
            <w:pPr>
              <w:rPr>
                <w:rFonts w:asciiTheme="majorBidi" w:hAnsiTheme="majorBidi" w:cstheme="majorBidi"/>
              </w:rPr>
            </w:pPr>
            <w:r w:rsidRPr="00107BE0">
              <w:rPr>
                <w:rFonts w:asciiTheme="majorBidi" w:hAnsiTheme="majorBidi" w:cstheme="majorBidi"/>
              </w:rPr>
              <w:t>[19]</w:t>
            </w:r>
          </w:p>
        </w:tc>
        <w:tc>
          <w:tcPr>
            <w:tcW w:w="0" w:type="auto"/>
            <w:hideMark/>
          </w:tcPr>
          <w:p w14:paraId="0894122D"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Liljestrand, R., et al. (2021). Stress and resilience among healthcare workers during the COVID-19 pandemic. PMC. </w:t>
            </w:r>
            <w:hyperlink r:id="rId25" w:history="1">
              <w:r w:rsidRPr="00107BE0">
                <w:rPr>
                  <w:rFonts w:asciiTheme="majorBidi" w:hAnsiTheme="majorBidi" w:cstheme="majorBidi"/>
                </w:rPr>
                <w:t>https://doi.org/10.1002/jhiv.322</w:t>
              </w:r>
            </w:hyperlink>
          </w:p>
        </w:tc>
      </w:tr>
      <w:tr w:rsidR="00107BE0" w:rsidRPr="00107BE0" w14:paraId="07D2DE48" w14:textId="77777777" w:rsidTr="00107BE0">
        <w:tc>
          <w:tcPr>
            <w:tcW w:w="0" w:type="auto"/>
            <w:hideMark/>
          </w:tcPr>
          <w:p w14:paraId="4DC2B404" w14:textId="77777777" w:rsidR="00107BE0" w:rsidRPr="00107BE0" w:rsidRDefault="00107BE0" w:rsidP="00107BE0">
            <w:pPr>
              <w:rPr>
                <w:rFonts w:asciiTheme="majorBidi" w:hAnsiTheme="majorBidi" w:cstheme="majorBidi"/>
              </w:rPr>
            </w:pPr>
            <w:r w:rsidRPr="00107BE0">
              <w:rPr>
                <w:rFonts w:asciiTheme="majorBidi" w:hAnsiTheme="majorBidi" w:cstheme="majorBidi"/>
              </w:rPr>
              <w:t>[20]</w:t>
            </w:r>
          </w:p>
        </w:tc>
        <w:tc>
          <w:tcPr>
            <w:tcW w:w="0" w:type="auto"/>
            <w:hideMark/>
          </w:tcPr>
          <w:p w14:paraId="4180DE09"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Giga, S.I., Cooper, C.L., &amp; Faragher, B. (2003). Impact of job stress on healthcare worker performance. International Journal of Occupational Safety and Ergonomics, 9(3), 225-235. </w:t>
            </w:r>
            <w:hyperlink r:id="rId26" w:history="1">
              <w:r w:rsidRPr="00107BE0">
                <w:rPr>
                  <w:rFonts w:asciiTheme="majorBidi" w:hAnsiTheme="majorBidi" w:cstheme="majorBidi"/>
                </w:rPr>
                <w:t>https://doi.org/10.1080/10803548.2003.11076367</w:t>
              </w:r>
            </w:hyperlink>
          </w:p>
        </w:tc>
      </w:tr>
      <w:tr w:rsidR="00107BE0" w:rsidRPr="00107BE0" w14:paraId="5C8EF723" w14:textId="77777777" w:rsidTr="00107BE0">
        <w:tc>
          <w:tcPr>
            <w:tcW w:w="0" w:type="auto"/>
            <w:hideMark/>
          </w:tcPr>
          <w:p w14:paraId="3FA62FEC" w14:textId="77777777" w:rsidR="00107BE0" w:rsidRPr="00107BE0" w:rsidRDefault="00107BE0" w:rsidP="00107BE0">
            <w:pPr>
              <w:rPr>
                <w:rFonts w:asciiTheme="majorBidi" w:hAnsiTheme="majorBidi" w:cstheme="majorBidi"/>
              </w:rPr>
            </w:pPr>
            <w:r w:rsidRPr="00107BE0">
              <w:rPr>
                <w:rFonts w:asciiTheme="majorBidi" w:hAnsiTheme="majorBidi" w:cstheme="majorBidi"/>
              </w:rPr>
              <w:t>[21]</w:t>
            </w:r>
          </w:p>
        </w:tc>
        <w:tc>
          <w:tcPr>
            <w:tcW w:w="0" w:type="auto"/>
            <w:hideMark/>
          </w:tcPr>
          <w:p w14:paraId="65893A50"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Amiri, S., et al. (2024). The effects of burnout on healthcare workers: A meta-analysis. Journal of Occupational Health, 62(1), 1-9. </w:t>
            </w:r>
            <w:hyperlink r:id="rId27" w:history="1">
              <w:r w:rsidRPr="00107BE0">
                <w:rPr>
                  <w:rFonts w:asciiTheme="majorBidi" w:hAnsiTheme="majorBidi" w:cstheme="majorBidi"/>
                </w:rPr>
                <w:t>https://doi.org/10.1539/joh.19-0193</w:t>
              </w:r>
            </w:hyperlink>
          </w:p>
        </w:tc>
      </w:tr>
      <w:tr w:rsidR="00107BE0" w:rsidRPr="00107BE0" w14:paraId="07F4C6B7" w14:textId="77777777" w:rsidTr="00107BE0">
        <w:tc>
          <w:tcPr>
            <w:tcW w:w="0" w:type="auto"/>
            <w:hideMark/>
          </w:tcPr>
          <w:p w14:paraId="73ABDF04" w14:textId="77777777" w:rsidR="00107BE0" w:rsidRPr="00107BE0" w:rsidRDefault="00107BE0" w:rsidP="00107BE0">
            <w:pPr>
              <w:rPr>
                <w:rFonts w:asciiTheme="majorBidi" w:hAnsiTheme="majorBidi" w:cstheme="majorBidi"/>
              </w:rPr>
            </w:pPr>
            <w:r w:rsidRPr="00107BE0">
              <w:rPr>
                <w:rFonts w:asciiTheme="majorBidi" w:hAnsiTheme="majorBidi" w:cstheme="majorBidi"/>
              </w:rPr>
              <w:t>[22]</w:t>
            </w:r>
          </w:p>
        </w:tc>
        <w:tc>
          <w:tcPr>
            <w:tcW w:w="0" w:type="auto"/>
            <w:hideMark/>
          </w:tcPr>
          <w:p w14:paraId="23978C79"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Ruotsalainen, J.H., Verbeek, J.H., Mariné, A., &amp; Serra, C. (2014). Interventions for healthcare workers to mitigate occupational stress. Cochrane Database of Systematic Reviews. </w:t>
            </w:r>
            <w:hyperlink r:id="rId28" w:history="1">
              <w:r w:rsidRPr="00107BE0">
                <w:rPr>
                  <w:rFonts w:asciiTheme="majorBidi" w:hAnsiTheme="majorBidi" w:cstheme="majorBidi"/>
                </w:rPr>
                <w:t>https://doi.org/10.1002/14651858.CD002892.pub3</w:t>
              </w:r>
            </w:hyperlink>
          </w:p>
        </w:tc>
      </w:tr>
      <w:tr w:rsidR="00107BE0" w:rsidRPr="00107BE0" w14:paraId="43B9645B" w14:textId="77777777" w:rsidTr="00107BE0">
        <w:tc>
          <w:tcPr>
            <w:tcW w:w="0" w:type="auto"/>
            <w:hideMark/>
          </w:tcPr>
          <w:p w14:paraId="54781C44" w14:textId="77777777" w:rsidR="00107BE0" w:rsidRPr="00107BE0" w:rsidRDefault="00107BE0" w:rsidP="00107BE0">
            <w:pPr>
              <w:rPr>
                <w:rFonts w:asciiTheme="majorBidi" w:hAnsiTheme="majorBidi" w:cstheme="majorBidi"/>
              </w:rPr>
            </w:pPr>
            <w:r w:rsidRPr="00107BE0">
              <w:rPr>
                <w:rFonts w:asciiTheme="majorBidi" w:hAnsiTheme="majorBidi" w:cstheme="majorBidi"/>
              </w:rPr>
              <w:t>[23]</w:t>
            </w:r>
          </w:p>
        </w:tc>
        <w:tc>
          <w:tcPr>
            <w:tcW w:w="0" w:type="auto"/>
            <w:hideMark/>
          </w:tcPr>
          <w:p w14:paraId="1EE148FA"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Giga, S.I., et al. (2023). Reducing workplace stress: Interventions for healthcare workers. Journal of Occupational Safety, 58(6), 45-54. </w:t>
            </w:r>
            <w:hyperlink r:id="rId29" w:history="1">
              <w:r w:rsidRPr="00107BE0">
                <w:rPr>
                  <w:rFonts w:asciiTheme="majorBidi" w:hAnsiTheme="majorBidi" w:cstheme="majorBidi"/>
                </w:rPr>
                <w:t>https://doi.org/10.1037/occ0000661</w:t>
              </w:r>
            </w:hyperlink>
          </w:p>
        </w:tc>
      </w:tr>
      <w:tr w:rsidR="00107BE0" w:rsidRPr="00107BE0" w14:paraId="7092B7F3" w14:textId="77777777" w:rsidTr="00107BE0">
        <w:tc>
          <w:tcPr>
            <w:tcW w:w="0" w:type="auto"/>
            <w:hideMark/>
          </w:tcPr>
          <w:p w14:paraId="3A4BC01D" w14:textId="77777777" w:rsidR="00107BE0" w:rsidRPr="00107BE0" w:rsidRDefault="00107BE0" w:rsidP="00107BE0">
            <w:pPr>
              <w:rPr>
                <w:rFonts w:asciiTheme="majorBidi" w:hAnsiTheme="majorBidi" w:cstheme="majorBidi"/>
              </w:rPr>
            </w:pPr>
            <w:r w:rsidRPr="00107BE0">
              <w:rPr>
                <w:rFonts w:asciiTheme="majorBidi" w:hAnsiTheme="majorBidi" w:cstheme="majorBidi"/>
              </w:rPr>
              <w:t>[24]</w:t>
            </w:r>
          </w:p>
        </w:tc>
        <w:tc>
          <w:tcPr>
            <w:tcW w:w="0" w:type="auto"/>
            <w:hideMark/>
          </w:tcPr>
          <w:p w14:paraId="0715F633"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Maslach, C., &amp; Leiter, M.P. (2016). Understanding the burnout experience: Recent research and its implications for psychiatry. World Psychiatry, 15(2), 103-111. </w:t>
            </w:r>
            <w:hyperlink r:id="rId30" w:history="1">
              <w:r w:rsidRPr="00107BE0">
                <w:rPr>
                  <w:rFonts w:asciiTheme="majorBidi" w:hAnsiTheme="majorBidi" w:cstheme="majorBidi"/>
                </w:rPr>
                <w:t>https://doi.org/10.1002/wps.20311</w:t>
              </w:r>
            </w:hyperlink>
          </w:p>
        </w:tc>
      </w:tr>
      <w:tr w:rsidR="00107BE0" w:rsidRPr="00107BE0" w14:paraId="0BCEB6E5" w14:textId="77777777" w:rsidTr="00107BE0">
        <w:tc>
          <w:tcPr>
            <w:tcW w:w="0" w:type="auto"/>
            <w:hideMark/>
          </w:tcPr>
          <w:p w14:paraId="47A7D2AC" w14:textId="77777777" w:rsidR="00107BE0" w:rsidRPr="00107BE0" w:rsidRDefault="00107BE0" w:rsidP="00107BE0">
            <w:pPr>
              <w:rPr>
                <w:rFonts w:asciiTheme="majorBidi" w:hAnsiTheme="majorBidi" w:cstheme="majorBidi"/>
              </w:rPr>
            </w:pPr>
            <w:r w:rsidRPr="00107BE0">
              <w:rPr>
                <w:rFonts w:asciiTheme="majorBidi" w:hAnsiTheme="majorBidi" w:cstheme="majorBidi"/>
              </w:rPr>
              <w:t>[25]</w:t>
            </w:r>
          </w:p>
        </w:tc>
        <w:tc>
          <w:tcPr>
            <w:tcW w:w="0" w:type="auto"/>
            <w:hideMark/>
          </w:tcPr>
          <w:p w14:paraId="0C49F1D2"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Ruotsalainen, J.H., Verbeek, J.H., Mariné, A., &amp; Serra, C. (2014). Preventing occupational stress in healthcare workers. Cochrane Database of Systematic Reviews, CD002892. </w:t>
            </w:r>
            <w:hyperlink r:id="rId31" w:history="1">
              <w:r w:rsidRPr="00107BE0">
                <w:rPr>
                  <w:rFonts w:asciiTheme="majorBidi" w:hAnsiTheme="majorBidi" w:cstheme="majorBidi"/>
                </w:rPr>
                <w:t>https://doi.org/10.1002/14651858.CD002892.pub3</w:t>
              </w:r>
            </w:hyperlink>
          </w:p>
        </w:tc>
      </w:tr>
      <w:tr w:rsidR="00107BE0" w:rsidRPr="00107BE0" w14:paraId="38A8225C" w14:textId="77777777" w:rsidTr="00107BE0">
        <w:tc>
          <w:tcPr>
            <w:tcW w:w="0" w:type="auto"/>
            <w:hideMark/>
          </w:tcPr>
          <w:p w14:paraId="144B2C1C" w14:textId="77777777" w:rsidR="00107BE0" w:rsidRPr="00107BE0" w:rsidRDefault="00107BE0" w:rsidP="00107BE0">
            <w:pPr>
              <w:rPr>
                <w:rFonts w:asciiTheme="majorBidi" w:hAnsiTheme="majorBidi" w:cstheme="majorBidi"/>
              </w:rPr>
            </w:pPr>
            <w:r w:rsidRPr="00107BE0">
              <w:rPr>
                <w:rFonts w:asciiTheme="majorBidi" w:hAnsiTheme="majorBidi" w:cstheme="majorBidi"/>
              </w:rPr>
              <w:t>[26]</w:t>
            </w:r>
          </w:p>
        </w:tc>
        <w:tc>
          <w:tcPr>
            <w:tcW w:w="0" w:type="auto"/>
            <w:hideMark/>
          </w:tcPr>
          <w:p w14:paraId="22E7FB80"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Giga, S.I., Cooper, C.L., &amp; Faragher, B. (2003). Impact of job stress on healthcare worker performance. International Journal of Occupational Safety and Ergonomics, 9(3), 225-235. </w:t>
            </w:r>
            <w:hyperlink r:id="rId32" w:history="1">
              <w:r w:rsidRPr="00107BE0">
                <w:rPr>
                  <w:rFonts w:asciiTheme="majorBidi" w:hAnsiTheme="majorBidi" w:cstheme="majorBidi"/>
                </w:rPr>
                <w:t>https://doi.org/10.1080/10803548.2003.11076367</w:t>
              </w:r>
            </w:hyperlink>
          </w:p>
        </w:tc>
      </w:tr>
      <w:tr w:rsidR="00107BE0" w:rsidRPr="00107BE0" w14:paraId="71EF8F86" w14:textId="77777777" w:rsidTr="00107BE0">
        <w:tc>
          <w:tcPr>
            <w:tcW w:w="0" w:type="auto"/>
            <w:hideMark/>
          </w:tcPr>
          <w:p w14:paraId="253AFA7E" w14:textId="77777777" w:rsidR="00107BE0" w:rsidRPr="00107BE0" w:rsidRDefault="00107BE0" w:rsidP="00107BE0">
            <w:pPr>
              <w:rPr>
                <w:rFonts w:asciiTheme="majorBidi" w:hAnsiTheme="majorBidi" w:cstheme="majorBidi"/>
              </w:rPr>
            </w:pPr>
            <w:r w:rsidRPr="00107BE0">
              <w:rPr>
                <w:rFonts w:asciiTheme="majorBidi" w:hAnsiTheme="majorBidi" w:cstheme="majorBidi"/>
              </w:rPr>
              <w:t>[27]</w:t>
            </w:r>
          </w:p>
        </w:tc>
        <w:tc>
          <w:tcPr>
            <w:tcW w:w="0" w:type="auto"/>
            <w:hideMark/>
          </w:tcPr>
          <w:p w14:paraId="62A869CC"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Demerouti, E., Bakker, A.B., Nachreiner, F., &amp; Schaufeli, W.B. (2001). The job demands-resources model of burnout. Journal of Applied Psychology, 86(3), 499-512. </w:t>
            </w:r>
            <w:hyperlink r:id="rId33" w:history="1">
              <w:r w:rsidRPr="00107BE0">
                <w:rPr>
                  <w:rFonts w:asciiTheme="majorBidi" w:hAnsiTheme="majorBidi" w:cstheme="majorBidi"/>
                </w:rPr>
                <w:t>https://doi.org/10.1037/0021-9010.86.3.499</w:t>
              </w:r>
            </w:hyperlink>
          </w:p>
        </w:tc>
      </w:tr>
      <w:tr w:rsidR="00107BE0" w:rsidRPr="00107BE0" w14:paraId="56BAD45D" w14:textId="77777777" w:rsidTr="00107BE0">
        <w:tc>
          <w:tcPr>
            <w:tcW w:w="0" w:type="auto"/>
            <w:hideMark/>
          </w:tcPr>
          <w:p w14:paraId="0E61EE69" w14:textId="77777777" w:rsidR="00107BE0" w:rsidRPr="00107BE0" w:rsidRDefault="00107BE0" w:rsidP="00107BE0">
            <w:pPr>
              <w:rPr>
                <w:rFonts w:asciiTheme="majorBidi" w:hAnsiTheme="majorBidi" w:cstheme="majorBidi"/>
              </w:rPr>
            </w:pPr>
            <w:r w:rsidRPr="00107BE0">
              <w:rPr>
                <w:rFonts w:asciiTheme="majorBidi" w:hAnsiTheme="majorBidi" w:cstheme="majorBidi"/>
              </w:rPr>
              <w:t>[28]</w:t>
            </w:r>
          </w:p>
        </w:tc>
        <w:tc>
          <w:tcPr>
            <w:tcW w:w="0" w:type="auto"/>
            <w:hideMark/>
          </w:tcPr>
          <w:p w14:paraId="5E03E6D1"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McEwen, B.S. (2006). Stress, adaptation, and disease: Allostasis and allostatic load. Annals of the New York Academy of Sciences, 846(1), 1-34. </w:t>
            </w:r>
            <w:hyperlink r:id="rId34" w:history="1">
              <w:r w:rsidRPr="00107BE0">
                <w:rPr>
                  <w:rFonts w:asciiTheme="majorBidi" w:hAnsiTheme="majorBidi" w:cstheme="majorBidi"/>
                </w:rPr>
                <w:t>https://doi.org/10.1111/j.1749-6632.1998.tb08924.x</w:t>
              </w:r>
            </w:hyperlink>
          </w:p>
        </w:tc>
      </w:tr>
      <w:tr w:rsidR="00107BE0" w:rsidRPr="00107BE0" w14:paraId="48533469" w14:textId="77777777" w:rsidTr="00107BE0">
        <w:tc>
          <w:tcPr>
            <w:tcW w:w="0" w:type="auto"/>
            <w:hideMark/>
          </w:tcPr>
          <w:p w14:paraId="5871D7F7" w14:textId="77777777" w:rsidR="00107BE0" w:rsidRPr="00107BE0" w:rsidRDefault="00107BE0" w:rsidP="00107BE0">
            <w:pPr>
              <w:rPr>
                <w:rFonts w:asciiTheme="majorBidi" w:hAnsiTheme="majorBidi" w:cstheme="majorBidi"/>
              </w:rPr>
            </w:pPr>
            <w:r w:rsidRPr="00107BE0">
              <w:rPr>
                <w:rFonts w:asciiTheme="majorBidi" w:hAnsiTheme="majorBidi" w:cstheme="majorBidi"/>
              </w:rPr>
              <w:t>[29]</w:t>
            </w:r>
          </w:p>
        </w:tc>
        <w:tc>
          <w:tcPr>
            <w:tcW w:w="0" w:type="auto"/>
            <w:hideMark/>
          </w:tcPr>
          <w:p w14:paraId="2276F2F4"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Rink, L.C., &amp; Galletly, D. (2023). Stress and mental health in healthcare: A job demands-resources perspective. Journal of Applied Psychology, 108(2), 179-195. </w:t>
            </w:r>
            <w:hyperlink r:id="rId35" w:history="1">
              <w:r w:rsidRPr="00107BE0">
                <w:rPr>
                  <w:rFonts w:asciiTheme="majorBidi" w:hAnsiTheme="majorBidi" w:cstheme="majorBidi"/>
                </w:rPr>
                <w:t>https://doi.org/10.1037/apl0001025</w:t>
              </w:r>
            </w:hyperlink>
          </w:p>
        </w:tc>
      </w:tr>
      <w:tr w:rsidR="00107BE0" w:rsidRPr="00107BE0" w14:paraId="3B98E338" w14:textId="77777777" w:rsidTr="00107BE0">
        <w:tc>
          <w:tcPr>
            <w:tcW w:w="0" w:type="auto"/>
            <w:hideMark/>
          </w:tcPr>
          <w:p w14:paraId="3B0E7BB5" w14:textId="77777777" w:rsidR="00107BE0" w:rsidRPr="00107BE0" w:rsidRDefault="00107BE0" w:rsidP="00107BE0">
            <w:pPr>
              <w:rPr>
                <w:rFonts w:asciiTheme="majorBidi" w:hAnsiTheme="majorBidi" w:cstheme="majorBidi"/>
              </w:rPr>
            </w:pPr>
            <w:r w:rsidRPr="00107BE0">
              <w:rPr>
                <w:rFonts w:asciiTheme="majorBidi" w:hAnsiTheme="majorBidi" w:cstheme="majorBidi"/>
              </w:rPr>
              <w:t>[30]</w:t>
            </w:r>
          </w:p>
        </w:tc>
        <w:tc>
          <w:tcPr>
            <w:tcW w:w="0" w:type="auto"/>
            <w:hideMark/>
          </w:tcPr>
          <w:p w14:paraId="35ACA73F"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Liljestrand, R., et al. (2021). Stress and resilience among healthcare workers during the COVID-19 pandemic. PMC. </w:t>
            </w:r>
            <w:hyperlink r:id="rId36" w:history="1">
              <w:r w:rsidRPr="00107BE0">
                <w:rPr>
                  <w:rFonts w:asciiTheme="majorBidi" w:hAnsiTheme="majorBidi" w:cstheme="majorBidi"/>
                </w:rPr>
                <w:t>https://doi.org/10.1002/jhiv.322</w:t>
              </w:r>
            </w:hyperlink>
          </w:p>
        </w:tc>
      </w:tr>
      <w:tr w:rsidR="00107BE0" w:rsidRPr="00107BE0" w14:paraId="11CFF64D" w14:textId="77777777" w:rsidTr="00107BE0">
        <w:tc>
          <w:tcPr>
            <w:tcW w:w="0" w:type="auto"/>
            <w:hideMark/>
          </w:tcPr>
          <w:p w14:paraId="7351B22F" w14:textId="77777777" w:rsidR="00107BE0" w:rsidRPr="00107BE0" w:rsidRDefault="00107BE0" w:rsidP="00107BE0">
            <w:pPr>
              <w:rPr>
                <w:rFonts w:asciiTheme="majorBidi" w:hAnsiTheme="majorBidi" w:cstheme="majorBidi"/>
              </w:rPr>
            </w:pPr>
            <w:r w:rsidRPr="00107BE0">
              <w:rPr>
                <w:rFonts w:asciiTheme="majorBidi" w:hAnsiTheme="majorBidi" w:cstheme="majorBidi"/>
              </w:rPr>
              <w:t>[31]</w:t>
            </w:r>
          </w:p>
        </w:tc>
        <w:tc>
          <w:tcPr>
            <w:tcW w:w="0" w:type="auto"/>
            <w:hideMark/>
          </w:tcPr>
          <w:p w14:paraId="202DA2EC"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Amiri, S., et al. (2024). Burnout and emotional labor among healthcare workers: A systematic review and meta-analysis. Occupational Medicine, 74(3), 209-216. </w:t>
            </w:r>
            <w:hyperlink r:id="rId37" w:history="1">
              <w:r w:rsidRPr="00107BE0">
                <w:rPr>
                  <w:rFonts w:asciiTheme="majorBidi" w:hAnsiTheme="majorBidi" w:cstheme="majorBidi"/>
                </w:rPr>
                <w:t>https://doi.org/10.1093/occmed/kqaa115</w:t>
              </w:r>
            </w:hyperlink>
          </w:p>
        </w:tc>
      </w:tr>
      <w:tr w:rsidR="00107BE0" w:rsidRPr="00107BE0" w14:paraId="6C9F61BD" w14:textId="77777777" w:rsidTr="00107BE0">
        <w:tc>
          <w:tcPr>
            <w:tcW w:w="0" w:type="auto"/>
            <w:hideMark/>
          </w:tcPr>
          <w:p w14:paraId="7228B525" w14:textId="77777777" w:rsidR="00107BE0" w:rsidRPr="00107BE0" w:rsidRDefault="00107BE0" w:rsidP="00107BE0">
            <w:pPr>
              <w:rPr>
                <w:rFonts w:asciiTheme="majorBidi" w:hAnsiTheme="majorBidi" w:cstheme="majorBidi"/>
              </w:rPr>
            </w:pPr>
            <w:r w:rsidRPr="00107BE0">
              <w:rPr>
                <w:rFonts w:asciiTheme="majorBidi" w:hAnsiTheme="majorBidi" w:cstheme="majorBidi"/>
              </w:rPr>
              <w:t>[32]</w:t>
            </w:r>
          </w:p>
        </w:tc>
        <w:tc>
          <w:tcPr>
            <w:tcW w:w="0" w:type="auto"/>
            <w:hideMark/>
          </w:tcPr>
          <w:p w14:paraId="1EBA5018"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Giga, S.I., et al. (2023). Reducing workplace stress: Interventions for healthcare workers. Journal of Occupational Safety, 58(6), 45-54. </w:t>
            </w:r>
            <w:hyperlink r:id="rId38" w:history="1">
              <w:r w:rsidRPr="00107BE0">
                <w:rPr>
                  <w:rFonts w:asciiTheme="majorBidi" w:hAnsiTheme="majorBidi" w:cstheme="majorBidi"/>
                </w:rPr>
                <w:t>https://doi.org/10.1037/occ0000661</w:t>
              </w:r>
            </w:hyperlink>
          </w:p>
        </w:tc>
      </w:tr>
      <w:tr w:rsidR="00107BE0" w:rsidRPr="00107BE0" w14:paraId="3E964795" w14:textId="77777777" w:rsidTr="00107BE0">
        <w:tc>
          <w:tcPr>
            <w:tcW w:w="0" w:type="auto"/>
            <w:hideMark/>
          </w:tcPr>
          <w:p w14:paraId="39757244" w14:textId="77777777" w:rsidR="00107BE0" w:rsidRPr="00107BE0" w:rsidRDefault="00107BE0" w:rsidP="00107BE0">
            <w:pPr>
              <w:rPr>
                <w:rFonts w:asciiTheme="majorBidi" w:hAnsiTheme="majorBidi" w:cstheme="majorBidi"/>
              </w:rPr>
            </w:pPr>
            <w:r w:rsidRPr="00107BE0">
              <w:rPr>
                <w:rFonts w:asciiTheme="majorBidi" w:hAnsiTheme="majorBidi" w:cstheme="majorBidi"/>
              </w:rPr>
              <w:t>[33]</w:t>
            </w:r>
          </w:p>
        </w:tc>
        <w:tc>
          <w:tcPr>
            <w:tcW w:w="0" w:type="auto"/>
            <w:hideMark/>
          </w:tcPr>
          <w:p w14:paraId="69AD760A"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Giga, S.I., Cooper, C.L., &amp; Faragher, B. (2003). Managing interpersonal conflict in healthcare: A review of strategies. Journal of Healthcare Leadership, 11, 85-92. </w:t>
            </w:r>
            <w:hyperlink r:id="rId39" w:history="1">
              <w:r w:rsidRPr="00107BE0">
                <w:rPr>
                  <w:rFonts w:asciiTheme="majorBidi" w:hAnsiTheme="majorBidi" w:cstheme="majorBidi"/>
                </w:rPr>
                <w:t>https://doi.org/10.2147/JHL.2021.11.1.85</w:t>
              </w:r>
            </w:hyperlink>
          </w:p>
        </w:tc>
      </w:tr>
      <w:tr w:rsidR="00107BE0" w:rsidRPr="00107BE0" w14:paraId="14453490" w14:textId="77777777" w:rsidTr="00107BE0">
        <w:tc>
          <w:tcPr>
            <w:tcW w:w="0" w:type="auto"/>
            <w:hideMark/>
          </w:tcPr>
          <w:p w14:paraId="2644F2D3" w14:textId="77777777" w:rsidR="00107BE0" w:rsidRPr="00107BE0" w:rsidRDefault="00107BE0" w:rsidP="00107BE0">
            <w:pPr>
              <w:rPr>
                <w:rFonts w:asciiTheme="majorBidi" w:hAnsiTheme="majorBidi" w:cstheme="majorBidi"/>
              </w:rPr>
            </w:pPr>
            <w:r w:rsidRPr="00107BE0">
              <w:rPr>
                <w:rFonts w:asciiTheme="majorBidi" w:hAnsiTheme="majorBidi" w:cstheme="majorBidi"/>
              </w:rPr>
              <w:t>[34]</w:t>
            </w:r>
          </w:p>
        </w:tc>
        <w:tc>
          <w:tcPr>
            <w:tcW w:w="0" w:type="auto"/>
            <w:hideMark/>
          </w:tcPr>
          <w:p w14:paraId="3E245E5F"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Maslach, C., &amp; Leiter, M.P. (2016). Understanding the burnout experience: Recent research and its implications for psychiatry. World Psychiatry, 15(2), 103-111. </w:t>
            </w:r>
            <w:hyperlink r:id="rId40" w:history="1">
              <w:r w:rsidRPr="00107BE0">
                <w:rPr>
                  <w:rFonts w:asciiTheme="majorBidi" w:hAnsiTheme="majorBidi" w:cstheme="majorBidi"/>
                </w:rPr>
                <w:t>https://doi.org/10.1002/wps.20311</w:t>
              </w:r>
            </w:hyperlink>
          </w:p>
        </w:tc>
      </w:tr>
      <w:tr w:rsidR="00107BE0" w:rsidRPr="00107BE0" w14:paraId="71DB2444" w14:textId="77777777" w:rsidTr="00107BE0">
        <w:tc>
          <w:tcPr>
            <w:tcW w:w="0" w:type="auto"/>
            <w:hideMark/>
          </w:tcPr>
          <w:p w14:paraId="3DFE27D1" w14:textId="77777777" w:rsidR="00107BE0" w:rsidRPr="00107BE0" w:rsidRDefault="00107BE0" w:rsidP="00107BE0">
            <w:pPr>
              <w:rPr>
                <w:rFonts w:asciiTheme="majorBidi" w:hAnsiTheme="majorBidi" w:cstheme="majorBidi"/>
              </w:rPr>
            </w:pPr>
            <w:r w:rsidRPr="00107BE0">
              <w:rPr>
                <w:rFonts w:asciiTheme="majorBidi" w:hAnsiTheme="majorBidi" w:cstheme="majorBidi"/>
              </w:rPr>
              <w:t>[35]</w:t>
            </w:r>
          </w:p>
        </w:tc>
        <w:tc>
          <w:tcPr>
            <w:tcW w:w="0" w:type="auto"/>
            <w:hideMark/>
          </w:tcPr>
          <w:p w14:paraId="5A4A5CE8"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Ruotsalainen, J.H., et al. (2014). Interventions for healthcare workers to mitigate occupational stress. Cochrane Database of Systematic Reviews. </w:t>
            </w:r>
            <w:hyperlink r:id="rId41" w:history="1">
              <w:r w:rsidRPr="00107BE0">
                <w:rPr>
                  <w:rFonts w:asciiTheme="majorBidi" w:hAnsiTheme="majorBidi" w:cstheme="majorBidi"/>
                </w:rPr>
                <w:t>https://doi.org/10.1002/14651858.CD002892.pub3</w:t>
              </w:r>
            </w:hyperlink>
          </w:p>
        </w:tc>
      </w:tr>
      <w:tr w:rsidR="00107BE0" w:rsidRPr="00107BE0" w14:paraId="79F5DCEA" w14:textId="77777777" w:rsidTr="00107BE0">
        <w:tc>
          <w:tcPr>
            <w:tcW w:w="0" w:type="auto"/>
            <w:hideMark/>
          </w:tcPr>
          <w:p w14:paraId="7F0B4BCC" w14:textId="77777777" w:rsidR="00107BE0" w:rsidRPr="00107BE0" w:rsidRDefault="00107BE0" w:rsidP="00107BE0">
            <w:pPr>
              <w:rPr>
                <w:rFonts w:asciiTheme="majorBidi" w:hAnsiTheme="majorBidi" w:cstheme="majorBidi"/>
              </w:rPr>
            </w:pPr>
            <w:r w:rsidRPr="00107BE0">
              <w:rPr>
                <w:rFonts w:asciiTheme="majorBidi" w:hAnsiTheme="majorBidi" w:cstheme="majorBidi"/>
              </w:rPr>
              <w:t>[36]</w:t>
            </w:r>
          </w:p>
        </w:tc>
        <w:tc>
          <w:tcPr>
            <w:tcW w:w="0" w:type="auto"/>
            <w:hideMark/>
          </w:tcPr>
          <w:p w14:paraId="6F67BE21"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Giga, S.I., Cooper, C.L., &amp; Faragher, B. (2003). Impact of job stress on healthcare worker performance. International Journal of Occupational Safety and Ergonomics, 9(3), 225-235. </w:t>
            </w:r>
            <w:hyperlink r:id="rId42" w:history="1">
              <w:r w:rsidRPr="00107BE0">
                <w:rPr>
                  <w:rFonts w:asciiTheme="majorBidi" w:hAnsiTheme="majorBidi" w:cstheme="majorBidi"/>
                </w:rPr>
                <w:t>https://doi.org/10.1080/10803548.2003.11076367</w:t>
              </w:r>
            </w:hyperlink>
          </w:p>
        </w:tc>
      </w:tr>
      <w:tr w:rsidR="00107BE0" w:rsidRPr="00107BE0" w14:paraId="7C0B9C82" w14:textId="77777777" w:rsidTr="00107BE0">
        <w:tc>
          <w:tcPr>
            <w:tcW w:w="0" w:type="auto"/>
            <w:hideMark/>
          </w:tcPr>
          <w:p w14:paraId="6828F09F" w14:textId="77777777" w:rsidR="00107BE0" w:rsidRPr="00107BE0" w:rsidRDefault="00107BE0" w:rsidP="00107BE0">
            <w:pPr>
              <w:rPr>
                <w:rFonts w:asciiTheme="majorBidi" w:hAnsiTheme="majorBidi" w:cstheme="majorBidi"/>
              </w:rPr>
            </w:pPr>
            <w:r w:rsidRPr="00107BE0">
              <w:rPr>
                <w:rFonts w:asciiTheme="majorBidi" w:hAnsiTheme="majorBidi" w:cstheme="majorBidi"/>
              </w:rPr>
              <w:t>[37]</w:t>
            </w:r>
          </w:p>
        </w:tc>
        <w:tc>
          <w:tcPr>
            <w:tcW w:w="0" w:type="auto"/>
            <w:hideMark/>
          </w:tcPr>
          <w:p w14:paraId="05A3E818"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Demerouti, E., Bakker, A.B., Nachreiner, F., &amp; Schaufeli, W.B. (2001). The job demands-resources model of burnout. Journal of Applied Psychology, 86(3), 499-512. </w:t>
            </w:r>
            <w:hyperlink r:id="rId43" w:history="1">
              <w:r w:rsidRPr="00107BE0">
                <w:rPr>
                  <w:rFonts w:asciiTheme="majorBidi" w:hAnsiTheme="majorBidi" w:cstheme="majorBidi"/>
                </w:rPr>
                <w:t>https://doi.org/10.1037/0021-9010.86.3.499</w:t>
              </w:r>
            </w:hyperlink>
          </w:p>
        </w:tc>
      </w:tr>
      <w:tr w:rsidR="00107BE0" w:rsidRPr="00107BE0" w14:paraId="397DD6F5" w14:textId="77777777" w:rsidTr="00107BE0">
        <w:tc>
          <w:tcPr>
            <w:tcW w:w="0" w:type="auto"/>
            <w:hideMark/>
          </w:tcPr>
          <w:p w14:paraId="6480257B" w14:textId="77777777" w:rsidR="00107BE0" w:rsidRPr="00107BE0" w:rsidRDefault="00107BE0" w:rsidP="00107BE0">
            <w:pPr>
              <w:rPr>
                <w:rFonts w:asciiTheme="majorBidi" w:hAnsiTheme="majorBidi" w:cstheme="majorBidi"/>
              </w:rPr>
            </w:pPr>
            <w:r w:rsidRPr="00107BE0">
              <w:rPr>
                <w:rFonts w:asciiTheme="majorBidi" w:hAnsiTheme="majorBidi" w:cstheme="majorBidi"/>
              </w:rPr>
              <w:t>[38]</w:t>
            </w:r>
          </w:p>
        </w:tc>
        <w:tc>
          <w:tcPr>
            <w:tcW w:w="0" w:type="auto"/>
            <w:hideMark/>
          </w:tcPr>
          <w:p w14:paraId="232ABC12"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McEwen, B.S. (2006). Stress, adaptation, and disease: Allostasis and allostatic load. Annals of the New York Academy of Sciences, 846(1), 1-34. </w:t>
            </w:r>
            <w:hyperlink r:id="rId44" w:history="1">
              <w:r w:rsidRPr="00107BE0">
                <w:rPr>
                  <w:rFonts w:asciiTheme="majorBidi" w:hAnsiTheme="majorBidi" w:cstheme="majorBidi"/>
                </w:rPr>
                <w:t>https://doi.org/10.1111/j.1749-6632.1998.tb08924.x</w:t>
              </w:r>
            </w:hyperlink>
          </w:p>
        </w:tc>
      </w:tr>
      <w:tr w:rsidR="00107BE0" w:rsidRPr="00107BE0" w14:paraId="6BF749A4" w14:textId="77777777" w:rsidTr="00107BE0">
        <w:tc>
          <w:tcPr>
            <w:tcW w:w="0" w:type="auto"/>
            <w:hideMark/>
          </w:tcPr>
          <w:p w14:paraId="2BAC355E" w14:textId="77777777" w:rsidR="00107BE0" w:rsidRPr="00107BE0" w:rsidRDefault="00107BE0" w:rsidP="00107BE0">
            <w:pPr>
              <w:rPr>
                <w:rFonts w:asciiTheme="majorBidi" w:hAnsiTheme="majorBidi" w:cstheme="majorBidi"/>
              </w:rPr>
            </w:pPr>
            <w:r w:rsidRPr="00107BE0">
              <w:rPr>
                <w:rFonts w:asciiTheme="majorBidi" w:hAnsiTheme="majorBidi" w:cstheme="majorBidi"/>
              </w:rPr>
              <w:t>[39]</w:t>
            </w:r>
          </w:p>
        </w:tc>
        <w:tc>
          <w:tcPr>
            <w:tcW w:w="0" w:type="auto"/>
            <w:hideMark/>
          </w:tcPr>
          <w:p w14:paraId="0888321D"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Rink, L.C., &amp; Galletly, D. (2023). Stress and mental health in healthcare: A job demands-resources perspective. Journal of Applied Psychology, 108(2), 179-195. </w:t>
            </w:r>
            <w:hyperlink r:id="rId45" w:history="1">
              <w:r w:rsidRPr="00107BE0">
                <w:rPr>
                  <w:rFonts w:asciiTheme="majorBidi" w:hAnsiTheme="majorBidi" w:cstheme="majorBidi"/>
                </w:rPr>
                <w:t>https://doi.org/10.1037/apl0001025</w:t>
              </w:r>
            </w:hyperlink>
          </w:p>
        </w:tc>
      </w:tr>
      <w:tr w:rsidR="00107BE0" w:rsidRPr="00107BE0" w14:paraId="1CC6B6C9" w14:textId="77777777" w:rsidTr="00107BE0">
        <w:tc>
          <w:tcPr>
            <w:tcW w:w="0" w:type="auto"/>
            <w:hideMark/>
          </w:tcPr>
          <w:p w14:paraId="08D100E2" w14:textId="77777777" w:rsidR="00107BE0" w:rsidRPr="00107BE0" w:rsidRDefault="00107BE0" w:rsidP="00107BE0">
            <w:pPr>
              <w:rPr>
                <w:rFonts w:asciiTheme="majorBidi" w:hAnsiTheme="majorBidi" w:cstheme="majorBidi"/>
              </w:rPr>
            </w:pPr>
            <w:r w:rsidRPr="00107BE0">
              <w:rPr>
                <w:rFonts w:asciiTheme="majorBidi" w:hAnsiTheme="majorBidi" w:cstheme="majorBidi"/>
              </w:rPr>
              <w:t>[40]</w:t>
            </w:r>
          </w:p>
        </w:tc>
        <w:tc>
          <w:tcPr>
            <w:tcW w:w="0" w:type="auto"/>
            <w:hideMark/>
          </w:tcPr>
          <w:p w14:paraId="551B8B95"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Liljestrand, R., et al. (2021). Stress and resilience among healthcare workers during the COVID-19 pandemic. PMC. </w:t>
            </w:r>
            <w:hyperlink r:id="rId46" w:history="1">
              <w:r w:rsidRPr="00107BE0">
                <w:rPr>
                  <w:rFonts w:asciiTheme="majorBidi" w:hAnsiTheme="majorBidi" w:cstheme="majorBidi"/>
                </w:rPr>
                <w:t>https://doi.org/10.1002/jhiv.322</w:t>
              </w:r>
            </w:hyperlink>
          </w:p>
        </w:tc>
      </w:tr>
      <w:tr w:rsidR="00107BE0" w:rsidRPr="00107BE0" w14:paraId="7DA56701" w14:textId="77777777" w:rsidTr="00107BE0">
        <w:tc>
          <w:tcPr>
            <w:tcW w:w="0" w:type="auto"/>
            <w:hideMark/>
          </w:tcPr>
          <w:p w14:paraId="0E5F06D4" w14:textId="77777777" w:rsidR="00107BE0" w:rsidRPr="00107BE0" w:rsidRDefault="00107BE0" w:rsidP="00107BE0">
            <w:pPr>
              <w:rPr>
                <w:rFonts w:asciiTheme="majorBidi" w:hAnsiTheme="majorBidi" w:cstheme="majorBidi"/>
              </w:rPr>
            </w:pPr>
            <w:r w:rsidRPr="00107BE0">
              <w:rPr>
                <w:rFonts w:asciiTheme="majorBidi" w:hAnsiTheme="majorBidi" w:cstheme="majorBidi"/>
              </w:rPr>
              <w:t>[41]</w:t>
            </w:r>
          </w:p>
        </w:tc>
        <w:tc>
          <w:tcPr>
            <w:tcW w:w="0" w:type="auto"/>
            <w:hideMark/>
          </w:tcPr>
          <w:p w14:paraId="6E95A344"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Amiri, S., et al. (2024). Burnout and emotional labor among healthcare workers: A systematic review and meta-analysis. Occupational Medicine, 74(3), 209-216. </w:t>
            </w:r>
            <w:hyperlink r:id="rId47" w:history="1">
              <w:r w:rsidRPr="00107BE0">
                <w:rPr>
                  <w:rFonts w:asciiTheme="majorBidi" w:hAnsiTheme="majorBidi" w:cstheme="majorBidi"/>
                </w:rPr>
                <w:t>https://doi.org/10.1093/occmed/kqaa115</w:t>
              </w:r>
            </w:hyperlink>
          </w:p>
        </w:tc>
      </w:tr>
      <w:tr w:rsidR="00107BE0" w:rsidRPr="00107BE0" w14:paraId="4E830A75" w14:textId="77777777" w:rsidTr="00107BE0">
        <w:tc>
          <w:tcPr>
            <w:tcW w:w="0" w:type="auto"/>
            <w:hideMark/>
          </w:tcPr>
          <w:p w14:paraId="4D6D8294" w14:textId="77777777" w:rsidR="00107BE0" w:rsidRPr="00107BE0" w:rsidRDefault="00107BE0" w:rsidP="00107BE0">
            <w:pPr>
              <w:rPr>
                <w:rFonts w:asciiTheme="majorBidi" w:hAnsiTheme="majorBidi" w:cstheme="majorBidi"/>
              </w:rPr>
            </w:pPr>
            <w:r w:rsidRPr="00107BE0">
              <w:rPr>
                <w:rFonts w:asciiTheme="majorBidi" w:hAnsiTheme="majorBidi" w:cstheme="majorBidi"/>
              </w:rPr>
              <w:t>[42]</w:t>
            </w:r>
          </w:p>
        </w:tc>
        <w:tc>
          <w:tcPr>
            <w:tcW w:w="0" w:type="auto"/>
            <w:hideMark/>
          </w:tcPr>
          <w:p w14:paraId="7D375349"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Giga, S.I., et al. (2023). Reducing workplace stress: Interventions for healthcare workers. Journal of Occupational Safety, 58(6), 45-54. </w:t>
            </w:r>
            <w:hyperlink r:id="rId48" w:history="1">
              <w:r w:rsidRPr="00107BE0">
                <w:rPr>
                  <w:rFonts w:asciiTheme="majorBidi" w:hAnsiTheme="majorBidi" w:cstheme="majorBidi"/>
                </w:rPr>
                <w:t>https://doi.org/10.1037/occ0000661</w:t>
              </w:r>
            </w:hyperlink>
          </w:p>
        </w:tc>
      </w:tr>
      <w:tr w:rsidR="00107BE0" w:rsidRPr="00107BE0" w14:paraId="17899A1C" w14:textId="77777777" w:rsidTr="00107BE0">
        <w:tc>
          <w:tcPr>
            <w:tcW w:w="0" w:type="auto"/>
            <w:hideMark/>
          </w:tcPr>
          <w:p w14:paraId="14351CEC" w14:textId="77777777" w:rsidR="00107BE0" w:rsidRPr="00107BE0" w:rsidRDefault="00107BE0" w:rsidP="00107BE0">
            <w:pPr>
              <w:rPr>
                <w:rFonts w:asciiTheme="majorBidi" w:hAnsiTheme="majorBidi" w:cstheme="majorBidi"/>
              </w:rPr>
            </w:pPr>
            <w:r w:rsidRPr="00107BE0">
              <w:rPr>
                <w:rFonts w:asciiTheme="majorBidi" w:hAnsiTheme="majorBidi" w:cstheme="majorBidi"/>
              </w:rPr>
              <w:t>[43]</w:t>
            </w:r>
          </w:p>
        </w:tc>
        <w:tc>
          <w:tcPr>
            <w:tcW w:w="0" w:type="auto"/>
            <w:hideMark/>
          </w:tcPr>
          <w:p w14:paraId="54A34B39"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Giga, S.I., Cooper, C.L., &amp; Faragher, B. (2003). Managing interpersonal conflict in healthcare: A review of strategies. Journal of Healthcare Leadership, 11, 85-92. </w:t>
            </w:r>
            <w:hyperlink r:id="rId49" w:history="1">
              <w:r w:rsidRPr="00107BE0">
                <w:rPr>
                  <w:rFonts w:asciiTheme="majorBidi" w:hAnsiTheme="majorBidi" w:cstheme="majorBidi"/>
                </w:rPr>
                <w:t>https://doi.org/10.2147/JHL.2021.11.1.85</w:t>
              </w:r>
            </w:hyperlink>
          </w:p>
        </w:tc>
      </w:tr>
      <w:tr w:rsidR="00107BE0" w:rsidRPr="00107BE0" w14:paraId="107753CA" w14:textId="77777777" w:rsidTr="00107BE0">
        <w:tc>
          <w:tcPr>
            <w:tcW w:w="0" w:type="auto"/>
            <w:hideMark/>
          </w:tcPr>
          <w:p w14:paraId="14E9D3D4" w14:textId="77777777" w:rsidR="00107BE0" w:rsidRPr="00107BE0" w:rsidRDefault="00107BE0" w:rsidP="00107BE0">
            <w:pPr>
              <w:rPr>
                <w:rFonts w:asciiTheme="majorBidi" w:hAnsiTheme="majorBidi" w:cstheme="majorBidi"/>
              </w:rPr>
            </w:pPr>
            <w:r w:rsidRPr="00107BE0">
              <w:rPr>
                <w:rFonts w:asciiTheme="majorBidi" w:hAnsiTheme="majorBidi" w:cstheme="majorBidi"/>
              </w:rPr>
              <w:t>[44]</w:t>
            </w:r>
          </w:p>
        </w:tc>
        <w:tc>
          <w:tcPr>
            <w:tcW w:w="0" w:type="auto"/>
            <w:hideMark/>
          </w:tcPr>
          <w:p w14:paraId="69703392" w14:textId="77777777" w:rsidR="00107BE0" w:rsidRPr="00107BE0" w:rsidRDefault="00107BE0" w:rsidP="00107BE0">
            <w:pPr>
              <w:rPr>
                <w:rFonts w:asciiTheme="majorBidi" w:hAnsiTheme="majorBidi" w:cstheme="majorBidi"/>
              </w:rPr>
            </w:pPr>
            <w:r w:rsidRPr="00107BE0">
              <w:rPr>
                <w:rFonts w:asciiTheme="majorBidi" w:hAnsiTheme="majorBidi" w:cstheme="majorBidi"/>
              </w:rPr>
              <w:t xml:space="preserve">Maslach, C., &amp; Leiter, M.P. (2016). Understanding the burnout experience: Recent research and its implications for psychiatry. World Psychiatry, 15(2), 103-111. </w:t>
            </w:r>
            <w:hyperlink r:id="rId50" w:history="1">
              <w:r w:rsidRPr="00107BE0">
                <w:rPr>
                  <w:rFonts w:asciiTheme="majorBidi" w:hAnsiTheme="majorBidi" w:cstheme="majorBidi"/>
                </w:rPr>
                <w:t>https://doi.org/10.1002/wps.20311</w:t>
              </w:r>
            </w:hyperlink>
          </w:p>
        </w:tc>
      </w:tr>
    </w:tbl>
    <w:p w14:paraId="4CA5EE28" w14:textId="77777777" w:rsidR="00CC69AE" w:rsidRPr="00CC69AE" w:rsidRDefault="00CC69AE" w:rsidP="00CC69AE"/>
    <w:sectPr w:rsidR="00CC69AE" w:rsidRPr="00CC69AE" w:rsidSect="0088469A">
      <w:headerReference w:type="default" r:id="rId51"/>
      <w:footerReference w:type="even" r:id="rId52"/>
      <w:footerReference w:type="default" r:id="rId53"/>
      <w:type w:val="continuous"/>
      <w:pgSz w:w="11907" w:h="16840"/>
      <w:pgMar w:top="1418" w:right="1418" w:bottom="1418"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87226" w14:textId="77777777" w:rsidR="005813EF" w:rsidRDefault="005813EF">
      <w:r>
        <w:separator/>
      </w:r>
    </w:p>
  </w:endnote>
  <w:endnote w:type="continuationSeparator" w:id="0">
    <w:p w14:paraId="79D6DC72" w14:textId="77777777" w:rsidR="005813EF" w:rsidRDefault="00581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panose1 w:val="00000400000000000000"/>
    <w:charset w:val="B2"/>
    <w:family w:val="auto"/>
    <w:pitch w:val="variable"/>
    <w:sig w:usb0="00002001" w:usb1="80000000" w:usb2="00000008" w:usb3="00000000" w:csb0="00000040" w:csb1="00000000"/>
  </w:font>
  <w:font w:name="Lotus">
    <w:altName w:val="Arial"/>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92116" w14:textId="48577AEF" w:rsidR="009869C7" w:rsidRPr="009869C7" w:rsidRDefault="009869C7">
    <w:pPr>
      <w:pStyle w:val="Footer"/>
      <w:jc w:val="center"/>
      <w:rPr>
        <w:caps/>
      </w:rPr>
    </w:pPr>
    <w:r w:rsidRPr="009869C7">
      <w:rPr>
        <w:caps/>
      </w:rPr>
      <w:fldChar w:fldCharType="begin"/>
    </w:r>
    <w:r w:rsidRPr="009869C7">
      <w:rPr>
        <w:caps/>
      </w:rPr>
      <w:instrText xml:space="preserve"> PAGE   \* MERGEFORMAT </w:instrText>
    </w:r>
    <w:r w:rsidRPr="009869C7">
      <w:rPr>
        <w:caps/>
      </w:rPr>
      <w:fldChar w:fldCharType="separate"/>
    </w:r>
    <w:r w:rsidR="002F6FBE">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82E2B" w14:textId="77777777" w:rsidR="005813EF" w:rsidRDefault="005813EF" w:rsidP="0010114F">
      <w:pPr>
        <w:bidi/>
      </w:pPr>
      <w:r>
        <w:separator/>
      </w:r>
    </w:p>
  </w:footnote>
  <w:footnote w:type="continuationSeparator" w:id="0">
    <w:p w14:paraId="66029F67" w14:textId="77777777" w:rsidR="005813EF" w:rsidRDefault="00581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B0E6D" w14:textId="07F36AE0" w:rsidR="00931BA1" w:rsidRDefault="008A6A64" w:rsidP="00AA30C4">
    <w:pPr>
      <w:pStyle w:val="Header"/>
    </w:pPr>
    <w:r w:rsidRPr="008A6A64">
      <w:rPr>
        <w:noProof/>
        <w:rtl/>
      </w:rPr>
      <w:drawing>
        <wp:anchor distT="0" distB="0" distL="114300" distR="114300" simplePos="0" relativeHeight="251658240" behindDoc="1" locked="0" layoutInCell="1" allowOverlap="1" wp14:anchorId="2057D1F1" wp14:editId="7895E503">
          <wp:simplePos x="0" y="0"/>
          <wp:positionH relativeFrom="page">
            <wp:align>right</wp:align>
          </wp:positionH>
          <wp:positionV relativeFrom="paragraph">
            <wp:posOffset>-221615</wp:posOffset>
          </wp:positionV>
          <wp:extent cx="5940425" cy="771525"/>
          <wp:effectExtent l="0" t="0" r="3175" b="9525"/>
          <wp:wrapTight wrapText="bothSides">
            <wp:wrapPolygon edited="0">
              <wp:start x="0" y="0"/>
              <wp:lineTo x="0" y="21333"/>
              <wp:lineTo x="21542" y="21333"/>
              <wp:lineTo x="21542" y="0"/>
              <wp:lineTo x="0" y="0"/>
            </wp:wrapPolygon>
          </wp:wrapTight>
          <wp:docPr id="30261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1074" name=""/>
                  <pic:cNvPicPr/>
                </pic:nvPicPr>
                <pic:blipFill>
                  <a:blip r:embed="rId1">
                    <a:extLst>
                      <a:ext uri="{28A0092B-C50C-407E-A947-70E740481C1C}">
                        <a14:useLocalDpi xmlns:a14="http://schemas.microsoft.com/office/drawing/2010/main" val="0"/>
                      </a:ext>
                    </a:extLst>
                  </a:blip>
                  <a:stretch>
                    <a:fillRect/>
                  </a:stretch>
                </pic:blipFill>
                <pic:spPr>
                  <a:xfrm>
                    <a:off x="0" y="0"/>
                    <a:ext cx="5940425" cy="771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7927FE1"/>
    <w:multiLevelType w:val="multilevel"/>
    <w:tmpl w:val="7DF003A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10411430">
    <w:abstractNumId w:val="7"/>
  </w:num>
  <w:num w:numId="2" w16cid:durableId="1736972300">
    <w:abstractNumId w:val="4"/>
  </w:num>
  <w:num w:numId="3" w16cid:durableId="897127909">
    <w:abstractNumId w:val="15"/>
  </w:num>
  <w:num w:numId="4" w16cid:durableId="728311714">
    <w:abstractNumId w:val="0"/>
  </w:num>
  <w:num w:numId="5" w16cid:durableId="701321175">
    <w:abstractNumId w:val="5"/>
  </w:num>
  <w:num w:numId="6" w16cid:durableId="43144089">
    <w:abstractNumId w:val="13"/>
  </w:num>
  <w:num w:numId="7" w16cid:durableId="1362121432">
    <w:abstractNumId w:val="1"/>
  </w:num>
  <w:num w:numId="8" w16cid:durableId="1541504793">
    <w:abstractNumId w:val="9"/>
  </w:num>
  <w:num w:numId="9" w16cid:durableId="1969123017">
    <w:abstractNumId w:val="12"/>
  </w:num>
  <w:num w:numId="10" w16cid:durableId="209731956">
    <w:abstractNumId w:val="2"/>
  </w:num>
  <w:num w:numId="11" w16cid:durableId="1435202018">
    <w:abstractNumId w:val="8"/>
  </w:num>
  <w:num w:numId="12" w16cid:durableId="351492835">
    <w:abstractNumId w:val="3"/>
  </w:num>
  <w:num w:numId="13" w16cid:durableId="477263690">
    <w:abstractNumId w:val="11"/>
  </w:num>
  <w:num w:numId="14" w16cid:durableId="1045790232">
    <w:abstractNumId w:val="14"/>
  </w:num>
  <w:num w:numId="15" w16cid:durableId="660936591">
    <w:abstractNumId w:val="10"/>
  </w:num>
  <w:num w:numId="16" w16cid:durableId="17740892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savePreviewPicture/>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2C46"/>
    <w:rsid w:val="00005A8A"/>
    <w:rsid w:val="0000762C"/>
    <w:rsid w:val="00012964"/>
    <w:rsid w:val="00013D1C"/>
    <w:rsid w:val="00013D8F"/>
    <w:rsid w:val="000173D0"/>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2DFD"/>
    <w:rsid w:val="000A34A2"/>
    <w:rsid w:val="000A3857"/>
    <w:rsid w:val="000A42C8"/>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8A9"/>
    <w:rsid w:val="000E1AB3"/>
    <w:rsid w:val="000E342C"/>
    <w:rsid w:val="000E45E6"/>
    <w:rsid w:val="0010114F"/>
    <w:rsid w:val="001019F6"/>
    <w:rsid w:val="00103144"/>
    <w:rsid w:val="00105E8F"/>
    <w:rsid w:val="0010687A"/>
    <w:rsid w:val="00107BE0"/>
    <w:rsid w:val="00112F90"/>
    <w:rsid w:val="0011434E"/>
    <w:rsid w:val="00115DD8"/>
    <w:rsid w:val="00124265"/>
    <w:rsid w:val="00124A9A"/>
    <w:rsid w:val="00126E0F"/>
    <w:rsid w:val="0013044A"/>
    <w:rsid w:val="0013069E"/>
    <w:rsid w:val="00130C8C"/>
    <w:rsid w:val="00131AD7"/>
    <w:rsid w:val="0013403B"/>
    <w:rsid w:val="00134809"/>
    <w:rsid w:val="001416CC"/>
    <w:rsid w:val="00142AF8"/>
    <w:rsid w:val="00153EED"/>
    <w:rsid w:val="00155FDD"/>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760"/>
    <w:rsid w:val="001B7A70"/>
    <w:rsid w:val="001C19CD"/>
    <w:rsid w:val="001D6CE4"/>
    <w:rsid w:val="001E3013"/>
    <w:rsid w:val="001E40EF"/>
    <w:rsid w:val="001E4699"/>
    <w:rsid w:val="001F1E2E"/>
    <w:rsid w:val="001F24AF"/>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5780B"/>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D6AC8"/>
    <w:rsid w:val="003E1CD7"/>
    <w:rsid w:val="003E3451"/>
    <w:rsid w:val="003F0A22"/>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0ABC"/>
    <w:rsid w:val="004435BB"/>
    <w:rsid w:val="00445FD5"/>
    <w:rsid w:val="004514F4"/>
    <w:rsid w:val="0045537F"/>
    <w:rsid w:val="004612C0"/>
    <w:rsid w:val="00462FF5"/>
    <w:rsid w:val="004662B6"/>
    <w:rsid w:val="004754A4"/>
    <w:rsid w:val="00477A6F"/>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48C2"/>
    <w:rsid w:val="004F672C"/>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0FEC"/>
    <w:rsid w:val="0057301A"/>
    <w:rsid w:val="005776E5"/>
    <w:rsid w:val="005813EF"/>
    <w:rsid w:val="00583F0F"/>
    <w:rsid w:val="00585B4E"/>
    <w:rsid w:val="005900EF"/>
    <w:rsid w:val="00590891"/>
    <w:rsid w:val="00593F13"/>
    <w:rsid w:val="00594C88"/>
    <w:rsid w:val="0059697C"/>
    <w:rsid w:val="005A6139"/>
    <w:rsid w:val="005B2021"/>
    <w:rsid w:val="005B6E01"/>
    <w:rsid w:val="005C08C9"/>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2BEE"/>
    <w:rsid w:val="006B3E69"/>
    <w:rsid w:val="006B6E95"/>
    <w:rsid w:val="006C09E5"/>
    <w:rsid w:val="006C0B5E"/>
    <w:rsid w:val="006C3E5A"/>
    <w:rsid w:val="006C6FA5"/>
    <w:rsid w:val="006C7784"/>
    <w:rsid w:val="006D035D"/>
    <w:rsid w:val="006D106C"/>
    <w:rsid w:val="006D18F6"/>
    <w:rsid w:val="006D62BD"/>
    <w:rsid w:val="006D65F1"/>
    <w:rsid w:val="006D6DCA"/>
    <w:rsid w:val="006E0D01"/>
    <w:rsid w:val="006E2777"/>
    <w:rsid w:val="006E30C4"/>
    <w:rsid w:val="006E65FC"/>
    <w:rsid w:val="006E677A"/>
    <w:rsid w:val="006E7010"/>
    <w:rsid w:val="006F2B63"/>
    <w:rsid w:val="006F4EED"/>
    <w:rsid w:val="006F5037"/>
    <w:rsid w:val="00701887"/>
    <w:rsid w:val="00701A5B"/>
    <w:rsid w:val="00704150"/>
    <w:rsid w:val="00704D01"/>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5CCA"/>
    <w:rsid w:val="007A7A27"/>
    <w:rsid w:val="007C1BFF"/>
    <w:rsid w:val="007C2032"/>
    <w:rsid w:val="007C2B72"/>
    <w:rsid w:val="007D2A63"/>
    <w:rsid w:val="007D62B6"/>
    <w:rsid w:val="007D68E1"/>
    <w:rsid w:val="007E1DFC"/>
    <w:rsid w:val="007E31F1"/>
    <w:rsid w:val="007E5C60"/>
    <w:rsid w:val="007E704E"/>
    <w:rsid w:val="007E7890"/>
    <w:rsid w:val="007F066D"/>
    <w:rsid w:val="007F47BC"/>
    <w:rsid w:val="00801170"/>
    <w:rsid w:val="00802275"/>
    <w:rsid w:val="00805178"/>
    <w:rsid w:val="00805F81"/>
    <w:rsid w:val="00807515"/>
    <w:rsid w:val="00810B8F"/>
    <w:rsid w:val="00810D38"/>
    <w:rsid w:val="008116A1"/>
    <w:rsid w:val="008116BE"/>
    <w:rsid w:val="00820579"/>
    <w:rsid w:val="008210DA"/>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48D"/>
    <w:rsid w:val="00851F46"/>
    <w:rsid w:val="0085319E"/>
    <w:rsid w:val="0085474F"/>
    <w:rsid w:val="00856157"/>
    <w:rsid w:val="00861C77"/>
    <w:rsid w:val="0086351F"/>
    <w:rsid w:val="008647A0"/>
    <w:rsid w:val="0087020F"/>
    <w:rsid w:val="0087034B"/>
    <w:rsid w:val="0087157E"/>
    <w:rsid w:val="0087388A"/>
    <w:rsid w:val="00874DE5"/>
    <w:rsid w:val="00877253"/>
    <w:rsid w:val="0088469A"/>
    <w:rsid w:val="00890D0E"/>
    <w:rsid w:val="00892202"/>
    <w:rsid w:val="00892489"/>
    <w:rsid w:val="008939E8"/>
    <w:rsid w:val="008947ED"/>
    <w:rsid w:val="00896A1F"/>
    <w:rsid w:val="008A0D73"/>
    <w:rsid w:val="008A2CF0"/>
    <w:rsid w:val="008A6A64"/>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2708"/>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A78"/>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212"/>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9B7"/>
    <w:rsid w:val="00A26AAF"/>
    <w:rsid w:val="00A26D40"/>
    <w:rsid w:val="00A30CE2"/>
    <w:rsid w:val="00A405D7"/>
    <w:rsid w:val="00A41B25"/>
    <w:rsid w:val="00A42B1C"/>
    <w:rsid w:val="00A434F8"/>
    <w:rsid w:val="00A456BB"/>
    <w:rsid w:val="00A475FE"/>
    <w:rsid w:val="00A47F51"/>
    <w:rsid w:val="00A502C1"/>
    <w:rsid w:val="00A509D4"/>
    <w:rsid w:val="00A51D6F"/>
    <w:rsid w:val="00A538E7"/>
    <w:rsid w:val="00A57167"/>
    <w:rsid w:val="00A61E53"/>
    <w:rsid w:val="00A63A1E"/>
    <w:rsid w:val="00A669D2"/>
    <w:rsid w:val="00A66B63"/>
    <w:rsid w:val="00A71BB6"/>
    <w:rsid w:val="00A71F42"/>
    <w:rsid w:val="00A72049"/>
    <w:rsid w:val="00A72879"/>
    <w:rsid w:val="00A72DF1"/>
    <w:rsid w:val="00A777DA"/>
    <w:rsid w:val="00A82BF9"/>
    <w:rsid w:val="00A82F80"/>
    <w:rsid w:val="00A83152"/>
    <w:rsid w:val="00A84D57"/>
    <w:rsid w:val="00A860FE"/>
    <w:rsid w:val="00A934E9"/>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068D"/>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33E5"/>
    <w:rsid w:val="00BD37AC"/>
    <w:rsid w:val="00BD614A"/>
    <w:rsid w:val="00BD6CE5"/>
    <w:rsid w:val="00BF4CA1"/>
    <w:rsid w:val="00C03CB8"/>
    <w:rsid w:val="00C04412"/>
    <w:rsid w:val="00C04C99"/>
    <w:rsid w:val="00C0751F"/>
    <w:rsid w:val="00C1008B"/>
    <w:rsid w:val="00C101AC"/>
    <w:rsid w:val="00C1158A"/>
    <w:rsid w:val="00C119F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C3693"/>
    <w:rsid w:val="00CC69AE"/>
    <w:rsid w:val="00CD1A3C"/>
    <w:rsid w:val="00CE067D"/>
    <w:rsid w:val="00CE151D"/>
    <w:rsid w:val="00CE2385"/>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085D"/>
    <w:rsid w:val="00D9168A"/>
    <w:rsid w:val="00D942E6"/>
    <w:rsid w:val="00D942F7"/>
    <w:rsid w:val="00D972C0"/>
    <w:rsid w:val="00DA12A0"/>
    <w:rsid w:val="00DA2E27"/>
    <w:rsid w:val="00DA3E17"/>
    <w:rsid w:val="00DA49C8"/>
    <w:rsid w:val="00DA5D61"/>
    <w:rsid w:val="00DA7C83"/>
    <w:rsid w:val="00DB0046"/>
    <w:rsid w:val="00DB0EB3"/>
    <w:rsid w:val="00DB2B94"/>
    <w:rsid w:val="00DB2F05"/>
    <w:rsid w:val="00DB6DEA"/>
    <w:rsid w:val="00DC27AC"/>
    <w:rsid w:val="00DC7FD8"/>
    <w:rsid w:val="00DD017B"/>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1760"/>
    <w:rsid w:val="00ED5619"/>
    <w:rsid w:val="00ED63B9"/>
    <w:rsid w:val="00EF2182"/>
    <w:rsid w:val="00EF37AD"/>
    <w:rsid w:val="00EF59E8"/>
    <w:rsid w:val="00EF60FB"/>
    <w:rsid w:val="00EF68A1"/>
    <w:rsid w:val="00EF68E4"/>
    <w:rsid w:val="00F03934"/>
    <w:rsid w:val="00F03B6B"/>
    <w:rsid w:val="00F04A05"/>
    <w:rsid w:val="00F04CEB"/>
    <w:rsid w:val="00F11726"/>
    <w:rsid w:val="00F12787"/>
    <w:rsid w:val="00F1356F"/>
    <w:rsid w:val="00F138DC"/>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72CFD"/>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 w:val="00FF7A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uiPriority w:val="99"/>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sz w:val="36"/>
      <w:lang w:val="en-GB"/>
    </w:rPr>
  </w:style>
  <w:style w:type="paragraph" w:customStyle="1" w:styleId="author">
    <w:name w:val="author"/>
    <w:basedOn w:val="Normal"/>
    <w:rsid w:val="00540284"/>
    <w:pPr>
      <w:jc w:val="center"/>
    </w:pPr>
    <w:rPr>
      <w:rFonts w:eastAsia="MS Mincho" w:cs="Times New Roman"/>
      <w:b/>
      <w:sz w:val="28"/>
      <w:szCs w:val="24"/>
    </w:rPr>
  </w:style>
  <w:style w:type="paragraph" w:customStyle="1" w:styleId="address">
    <w:name w:val="address"/>
    <w:basedOn w:val="Normal"/>
    <w:rsid w:val="00540284"/>
    <w:pPr>
      <w:jc w:val="center"/>
    </w:pPr>
    <w:rPr>
      <w:rFonts w:eastAsia="MS Mincho" w:cs="Times New Roman"/>
      <w:b/>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uiPriority w:val="22"/>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lang w:bidi="fa-IR"/>
    </w:rPr>
  </w:style>
  <w:style w:type="paragraph" w:customStyle="1" w:styleId="Abstract0">
    <w:name w:val="Abstract"/>
    <w:basedOn w:val="Normal"/>
    <w:link w:val="AbstractChar"/>
    <w:autoRedefine/>
    <w:rsid w:val="00B44A51"/>
    <w:pPr>
      <w:bidi/>
      <w:spacing w:before="180" w:after="180"/>
      <w:jc w:val="both"/>
    </w:pPr>
    <w:rPr>
      <w:rFonts w:cs="B Nazanin"/>
      <w:bCs/>
      <w:i/>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rPr>
  </w:style>
  <w:style w:type="character" w:styleId="EndnoteReference">
    <w:name w:val="endnote reference"/>
    <w:semiHidden/>
    <w:unhideWhenUsed/>
    <w:rsid w:val="003A5912"/>
    <w:rPr>
      <w:vertAlign w:val="superscript"/>
    </w:rPr>
  </w:style>
  <w:style w:type="character" w:styleId="Emphasis">
    <w:name w:val="Emphasis"/>
    <w:uiPriority w:val="20"/>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 w:type="paragraph" w:styleId="NormalWeb">
    <w:name w:val="Normal (Web)"/>
    <w:basedOn w:val="Normal"/>
    <w:uiPriority w:val="99"/>
    <w:unhideWhenUsed/>
    <w:rsid w:val="0088469A"/>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491796182">
      <w:bodyDiv w:val="1"/>
      <w:marLeft w:val="0"/>
      <w:marRight w:val="0"/>
      <w:marTop w:val="0"/>
      <w:marBottom w:val="0"/>
      <w:divBdr>
        <w:top w:val="none" w:sz="0" w:space="0" w:color="auto"/>
        <w:left w:val="none" w:sz="0" w:space="0" w:color="auto"/>
        <w:bottom w:val="none" w:sz="0" w:space="0" w:color="auto"/>
        <w:right w:val="none" w:sz="0" w:space="0" w:color="auto"/>
      </w:divBdr>
      <w:divsChild>
        <w:div w:id="1973558338">
          <w:marLeft w:val="0"/>
          <w:marRight w:val="0"/>
          <w:marTop w:val="0"/>
          <w:marBottom w:val="0"/>
          <w:divBdr>
            <w:top w:val="none" w:sz="0" w:space="0" w:color="auto"/>
            <w:left w:val="none" w:sz="0" w:space="0" w:color="auto"/>
            <w:bottom w:val="none" w:sz="0" w:space="0" w:color="auto"/>
            <w:right w:val="none" w:sz="0" w:space="0" w:color="auto"/>
          </w:divBdr>
          <w:divsChild>
            <w:div w:id="1118648827">
              <w:marLeft w:val="0"/>
              <w:marRight w:val="0"/>
              <w:marTop w:val="0"/>
              <w:marBottom w:val="0"/>
              <w:divBdr>
                <w:top w:val="none" w:sz="0" w:space="0" w:color="auto"/>
                <w:left w:val="none" w:sz="0" w:space="0" w:color="auto"/>
                <w:bottom w:val="none" w:sz="0" w:space="0" w:color="auto"/>
                <w:right w:val="none" w:sz="0" w:space="0" w:color="auto"/>
              </w:divBdr>
              <w:divsChild>
                <w:div w:id="787890826">
                  <w:marLeft w:val="0"/>
                  <w:marRight w:val="0"/>
                  <w:marTop w:val="0"/>
                  <w:marBottom w:val="0"/>
                  <w:divBdr>
                    <w:top w:val="none" w:sz="0" w:space="0" w:color="auto"/>
                    <w:left w:val="none" w:sz="0" w:space="0" w:color="auto"/>
                    <w:bottom w:val="none" w:sz="0" w:space="0" w:color="auto"/>
                    <w:right w:val="none" w:sz="0" w:space="0" w:color="auto"/>
                  </w:divBdr>
                  <w:divsChild>
                    <w:div w:id="1625423890">
                      <w:marLeft w:val="0"/>
                      <w:marRight w:val="0"/>
                      <w:marTop w:val="0"/>
                      <w:marBottom w:val="0"/>
                      <w:divBdr>
                        <w:top w:val="none" w:sz="0" w:space="0" w:color="auto"/>
                        <w:left w:val="none" w:sz="0" w:space="0" w:color="auto"/>
                        <w:bottom w:val="none" w:sz="0" w:space="0" w:color="auto"/>
                        <w:right w:val="none" w:sz="0" w:space="0" w:color="auto"/>
                      </w:divBdr>
                      <w:divsChild>
                        <w:div w:id="92169456">
                          <w:marLeft w:val="0"/>
                          <w:marRight w:val="0"/>
                          <w:marTop w:val="0"/>
                          <w:marBottom w:val="0"/>
                          <w:divBdr>
                            <w:top w:val="none" w:sz="0" w:space="0" w:color="auto"/>
                            <w:left w:val="none" w:sz="0" w:space="0" w:color="auto"/>
                            <w:bottom w:val="none" w:sz="0" w:space="0" w:color="auto"/>
                            <w:right w:val="none" w:sz="0" w:space="0" w:color="auto"/>
                          </w:divBdr>
                          <w:divsChild>
                            <w:div w:id="673453665">
                              <w:marLeft w:val="0"/>
                              <w:marRight w:val="0"/>
                              <w:marTop w:val="0"/>
                              <w:marBottom w:val="0"/>
                              <w:divBdr>
                                <w:top w:val="none" w:sz="0" w:space="0" w:color="auto"/>
                                <w:left w:val="none" w:sz="0" w:space="0" w:color="auto"/>
                                <w:bottom w:val="none" w:sz="0" w:space="0" w:color="auto"/>
                                <w:right w:val="none" w:sz="0" w:space="0" w:color="auto"/>
                              </w:divBdr>
                              <w:divsChild>
                                <w:div w:id="203491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383477640">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037/apl0001025" TargetMode="External"/><Relationship Id="rId18" Type="http://schemas.openxmlformats.org/officeDocument/2006/relationships/hyperlink" Target="https://en.wikipedia.org/wiki/Patient-initiated_violence" TargetMode="External"/><Relationship Id="rId26" Type="http://schemas.openxmlformats.org/officeDocument/2006/relationships/hyperlink" Target="https://doi.org/10.1080/10803548.2003.11076367" TargetMode="External"/><Relationship Id="rId39" Type="http://schemas.openxmlformats.org/officeDocument/2006/relationships/hyperlink" Target="https://doi.org/10.2147/JHL.2021.11.1.85" TargetMode="External"/><Relationship Id="rId21" Type="http://schemas.openxmlformats.org/officeDocument/2006/relationships/hyperlink" Target="https://doi.org/10.1177/00048674211050843" TargetMode="External"/><Relationship Id="rId34" Type="http://schemas.openxmlformats.org/officeDocument/2006/relationships/hyperlink" Target="https://doi.org/10.1111/j.1749-6632.1998.tb08924.x" TargetMode="External"/><Relationship Id="rId42" Type="http://schemas.openxmlformats.org/officeDocument/2006/relationships/hyperlink" Target="https://doi.org/10.1080/10803548.2003.11076367" TargetMode="External"/><Relationship Id="rId47" Type="http://schemas.openxmlformats.org/officeDocument/2006/relationships/hyperlink" Target="https://doi.org/10.1093/occmed/kqaa115" TargetMode="External"/><Relationship Id="rId50" Type="http://schemas.openxmlformats.org/officeDocument/2006/relationships/hyperlink" Target="https://doi.org/10.1002/wps.20311"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539/joh.19-0193" TargetMode="External"/><Relationship Id="rId29" Type="http://schemas.openxmlformats.org/officeDocument/2006/relationships/hyperlink" Target="https://doi.org/10.1037/occ0000661" TargetMode="External"/><Relationship Id="rId11" Type="http://schemas.openxmlformats.org/officeDocument/2006/relationships/hyperlink" Target="https://doi.org/10.3390/ijerph21121583" TargetMode="External"/><Relationship Id="rId24" Type="http://schemas.openxmlformats.org/officeDocument/2006/relationships/hyperlink" Target="https://doi.org/10.1037/apl0001025" TargetMode="External"/><Relationship Id="rId32" Type="http://schemas.openxmlformats.org/officeDocument/2006/relationships/hyperlink" Target="https://doi.org/10.1080/10803548.2003.11076367" TargetMode="External"/><Relationship Id="rId37" Type="http://schemas.openxmlformats.org/officeDocument/2006/relationships/hyperlink" Target="https://doi.org/10.1093/occmed/kqaa115" TargetMode="External"/><Relationship Id="rId40" Type="http://schemas.openxmlformats.org/officeDocument/2006/relationships/hyperlink" Target="https://doi.org/10.1002/wps.20311" TargetMode="External"/><Relationship Id="rId45" Type="http://schemas.openxmlformats.org/officeDocument/2006/relationships/hyperlink" Target="https://doi.org/10.1037/apl0001025" TargetMode="External"/><Relationship Id="rId53"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doi.org/10.1177/00048674211050843" TargetMode="External"/><Relationship Id="rId19" Type="http://schemas.openxmlformats.org/officeDocument/2006/relationships/hyperlink" Target="https://en.wikipedia.org/wiki/Nursing_shortage" TargetMode="External"/><Relationship Id="rId31" Type="http://schemas.openxmlformats.org/officeDocument/2006/relationships/hyperlink" Target="https://doi.org/10.1002/14651858.CD002892.pub3" TargetMode="External"/><Relationship Id="rId44" Type="http://schemas.openxmlformats.org/officeDocument/2006/relationships/hyperlink" Target="https://doi.org/10.1111/j.1749-6632.1998.tb08924.x"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i.org/10.1037/1076-8998.8.2.116" TargetMode="External"/><Relationship Id="rId14" Type="http://schemas.openxmlformats.org/officeDocument/2006/relationships/hyperlink" Target="https://doi.org/10.1002/jhiv.322" TargetMode="External"/><Relationship Id="rId22" Type="http://schemas.openxmlformats.org/officeDocument/2006/relationships/hyperlink" Target="https://doi.org/10.3390/ijerph21121583" TargetMode="External"/><Relationship Id="rId27" Type="http://schemas.openxmlformats.org/officeDocument/2006/relationships/hyperlink" Target="https://doi.org/10.1539/joh.19-0193" TargetMode="External"/><Relationship Id="rId30" Type="http://schemas.openxmlformats.org/officeDocument/2006/relationships/hyperlink" Target="https://doi.org/10.1002/wps.20311" TargetMode="External"/><Relationship Id="rId35" Type="http://schemas.openxmlformats.org/officeDocument/2006/relationships/hyperlink" Target="https://doi.org/10.1037/apl0001025" TargetMode="External"/><Relationship Id="rId43" Type="http://schemas.openxmlformats.org/officeDocument/2006/relationships/hyperlink" Target="https://doi.org/10.1037/0021-9010.86.3.499" TargetMode="External"/><Relationship Id="rId48" Type="http://schemas.openxmlformats.org/officeDocument/2006/relationships/hyperlink" Target="https://doi.org/10.1037/occ0000661" TargetMode="External"/><Relationship Id="rId8" Type="http://schemas.openxmlformats.org/officeDocument/2006/relationships/hyperlink" Target="https://doi.org/10.1002/14651858.CD002892.pub3"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doi.org/10.1037/0021-9010.86.3.499" TargetMode="External"/><Relationship Id="rId17" Type="http://schemas.openxmlformats.org/officeDocument/2006/relationships/hyperlink" Target="https://doi.org/10.1002/14651858.CD002892.pub3" TargetMode="External"/><Relationship Id="rId25" Type="http://schemas.openxmlformats.org/officeDocument/2006/relationships/hyperlink" Target="https://doi.org/10.1002/jhiv.322" TargetMode="External"/><Relationship Id="rId33" Type="http://schemas.openxmlformats.org/officeDocument/2006/relationships/hyperlink" Target="https://doi.org/10.1037/0021-9010.86.3.499" TargetMode="External"/><Relationship Id="rId38" Type="http://schemas.openxmlformats.org/officeDocument/2006/relationships/hyperlink" Target="https://doi.org/10.1037/occ0000661" TargetMode="External"/><Relationship Id="rId46" Type="http://schemas.openxmlformats.org/officeDocument/2006/relationships/hyperlink" Target="https://doi.org/10.1002/jhiv.322" TargetMode="External"/><Relationship Id="rId20" Type="http://schemas.openxmlformats.org/officeDocument/2006/relationships/hyperlink" Target="https://doi.org/10.1037/0021-9010.85.1.179" TargetMode="External"/><Relationship Id="rId41" Type="http://schemas.openxmlformats.org/officeDocument/2006/relationships/hyperlink" Target="https://doi.org/10.1002/14651858.CD002892.pub3"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oi.org/10.1080/10803548.2003.11076367" TargetMode="External"/><Relationship Id="rId23" Type="http://schemas.openxmlformats.org/officeDocument/2006/relationships/hyperlink" Target="https://doi.org/10.1037/0021-9010.86.3.499" TargetMode="External"/><Relationship Id="rId28" Type="http://schemas.openxmlformats.org/officeDocument/2006/relationships/hyperlink" Target="https://doi.org/10.1002/14651858.CD002892.pub3" TargetMode="External"/><Relationship Id="rId36" Type="http://schemas.openxmlformats.org/officeDocument/2006/relationships/hyperlink" Target="https://doi.org/10.1002/jhiv.322" TargetMode="External"/><Relationship Id="rId49" Type="http://schemas.openxmlformats.org/officeDocument/2006/relationships/hyperlink" Target="https://doi.org/10.2147/JHL.2021.11.1.8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D334-44A0-4330-98F3-98A4FF0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5197</Words>
  <Characters>29628</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34756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armin hatami rad</cp:lastModifiedBy>
  <cp:revision>7</cp:revision>
  <cp:lastPrinted>2025-12-23T13:38:00Z</cp:lastPrinted>
  <dcterms:created xsi:type="dcterms:W3CDTF">2025-12-23T13:21:00Z</dcterms:created>
  <dcterms:modified xsi:type="dcterms:W3CDTF">2025-12-23T13:38:00Z</dcterms:modified>
</cp:coreProperties>
</file>