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11141" w14:textId="77777777" w:rsidR="001D3775" w:rsidRDefault="001D3775" w:rsidP="00B4352A">
      <w:pPr>
        <w:widowControl w:val="0"/>
        <w:rPr>
          <w:rtl/>
        </w:rPr>
      </w:pPr>
    </w:p>
    <w:p w14:paraId="656FACD9" w14:textId="77777777" w:rsidR="001D3775" w:rsidRPr="001D3775" w:rsidRDefault="001D3775" w:rsidP="001D3775">
      <w:pPr>
        <w:pStyle w:val="NormalWeb"/>
        <w:jc w:val="center"/>
        <w:rPr>
          <w:b/>
          <w:bCs/>
          <w:sz w:val="28"/>
          <w:szCs w:val="28"/>
          <w:rtl/>
        </w:rPr>
      </w:pPr>
      <w:bookmarkStart w:id="0" w:name="_Hlk217995072"/>
      <w:r w:rsidRPr="001D3775">
        <w:rPr>
          <w:b/>
          <w:bCs/>
          <w:sz w:val="28"/>
          <w:szCs w:val="28"/>
        </w:rPr>
        <w:t>Recent Advances in School Health Education Research</w:t>
      </w:r>
    </w:p>
    <w:bookmarkEnd w:id="0"/>
    <w:p w14:paraId="7A9EB086" w14:textId="45E9AA24" w:rsidR="00B4352A" w:rsidRDefault="00B4352A" w:rsidP="00B4352A">
      <w:pPr>
        <w:widowControl w:val="0"/>
        <w:rPr>
          <w:rFonts w:ascii="Garamond" w:hAnsi="Garamond"/>
          <w:color w:val="000000"/>
          <w:sz w:val="18"/>
          <w:szCs w:val="18"/>
        </w:rPr>
      </w:pPr>
      <w:r>
        <w:t> </w:t>
      </w:r>
    </w:p>
    <w:p w14:paraId="777EB59F" w14:textId="45C34901" w:rsidR="00F728DC" w:rsidRPr="001D3775" w:rsidRDefault="001D3775" w:rsidP="001D3775">
      <w:pPr>
        <w:pStyle w:val="NormalWeb"/>
        <w:jc w:val="center"/>
        <w:rPr>
          <w:b/>
          <w:bCs/>
          <w:sz w:val="20"/>
          <w:szCs w:val="20"/>
          <w:rtl/>
        </w:rPr>
      </w:pPr>
      <w:r w:rsidRPr="003D4B77">
        <w:rPr>
          <w:b/>
          <w:bCs/>
          <w:sz w:val="20"/>
          <w:szCs w:val="20"/>
        </w:rPr>
        <w:t xml:space="preserve">Ali </w:t>
      </w:r>
      <w:proofErr w:type="spellStart"/>
      <w:r w:rsidRPr="003D4B77">
        <w:rPr>
          <w:b/>
          <w:bCs/>
          <w:sz w:val="20"/>
          <w:szCs w:val="20"/>
        </w:rPr>
        <w:t>Hosseinzadeh</w:t>
      </w:r>
      <w:proofErr w:type="spellEnd"/>
    </w:p>
    <w:p w14:paraId="57CB66B1" w14:textId="77777777" w:rsidR="001D3775" w:rsidRPr="001D3775" w:rsidRDefault="001D3775" w:rsidP="001D3775">
      <w:pPr>
        <w:pStyle w:val="NormalWeb"/>
        <w:jc w:val="center"/>
        <w:rPr>
          <w:b/>
          <w:bCs/>
          <w:sz w:val="16"/>
          <w:szCs w:val="16"/>
          <w:rtl/>
        </w:rPr>
      </w:pPr>
      <w:r w:rsidRPr="001D3775">
        <w:rPr>
          <w:b/>
          <w:bCs/>
          <w:sz w:val="16"/>
          <w:szCs w:val="16"/>
        </w:rPr>
        <w:t>Bachelor of Nursing, Azad University, Zahedan, Iran</w:t>
      </w:r>
    </w:p>
    <w:p w14:paraId="290830F2" w14:textId="77777777" w:rsidR="001D3775" w:rsidRDefault="001D3775" w:rsidP="001D3775">
      <w:pPr>
        <w:rPr>
          <w:rtl/>
        </w:rPr>
      </w:pPr>
    </w:p>
    <w:p w14:paraId="47E4439B" w14:textId="77777777" w:rsidR="001D3775" w:rsidRPr="001D3775" w:rsidRDefault="001D3775" w:rsidP="001D3775"/>
    <w:p w14:paraId="530A8E72" w14:textId="77777777" w:rsidR="00B55AB2" w:rsidRPr="00D26024" w:rsidRDefault="0016451D" w:rsidP="0016451D">
      <w:pPr>
        <w:pStyle w:val="Heading2"/>
        <w:ind w:left="567" w:right="567"/>
        <w:jc w:val="right"/>
        <w:rPr>
          <w:rFonts w:cs="Nazanin"/>
        </w:rPr>
      </w:pPr>
      <w:r w:rsidRPr="00D26024">
        <w:rPr>
          <w:rFonts w:cs="Nazanin"/>
        </w:rPr>
        <w:t>Abstract</w:t>
      </w:r>
    </w:p>
    <w:p w14:paraId="5678E152" w14:textId="2EABB65C" w:rsidR="00D14553" w:rsidRDefault="001D3775" w:rsidP="001D3775">
      <w:pPr>
        <w:ind w:left="567" w:right="426"/>
        <w:jc w:val="both"/>
        <w:rPr>
          <w:rFonts w:cs="Nazanin"/>
          <w:b/>
          <w:bCs/>
          <w:sz w:val="28"/>
          <w:szCs w:val="32"/>
          <w:rtl/>
          <w:lang w:bidi="fa-IR"/>
        </w:rPr>
      </w:pPr>
      <w:bookmarkStart w:id="1" w:name="OLE_LINK8"/>
      <w:bookmarkStart w:id="2" w:name="OLE_LINK9"/>
      <w:r>
        <w:t>School health education has rapidly evolved in response to post-pandemic challenges, digital transformation, and emerging adolescent health issues. This review highlights new research from 2023-2025, focusing on advancements in intervention design, implementation, and outcomes. Recent studies emphasize whole-school approaches aligned with the Health Promoting Schools (HPS) framework, integrating digital tools, mental health literacy, and equity strategies. Systematic reviews show modest but significant effects of school-based interventions on reducing screen time, building resilience, promoting physical activity, and improving health literacy. eHealth and mHealth platforms have proven effective in nutrition and vaping prevention. Methodological innovations include hybrid delivery models, youth co-design, and implementation science to bridge evidence gaps. Studies also address planetary health, social-emotional learning, and culturally tailored programs to reduce disparities. Barriers like resource constraints and teacher capacity remain, while facilitators include policy</w:t>
      </w:r>
    </w:p>
    <w:p w14:paraId="7668DAC8" w14:textId="77777777" w:rsidR="00273820" w:rsidRDefault="00273820" w:rsidP="00273820">
      <w:pPr>
        <w:bidi/>
        <w:jc w:val="center"/>
        <w:rPr>
          <w:rFonts w:cs="Nazanin"/>
          <w:b/>
          <w:bCs/>
          <w:sz w:val="28"/>
          <w:szCs w:val="32"/>
          <w:rtl/>
          <w:lang w:bidi="fa-IR"/>
        </w:rPr>
      </w:pPr>
    </w:p>
    <w:p w14:paraId="2F9E1C40" w14:textId="77777777" w:rsidR="00273820" w:rsidRPr="00D14553" w:rsidRDefault="00273820" w:rsidP="00273820">
      <w:pPr>
        <w:bidi/>
        <w:jc w:val="center"/>
        <w:rPr>
          <w:rFonts w:cs="Nazanin"/>
          <w:b/>
          <w:bCs/>
          <w:sz w:val="28"/>
          <w:szCs w:val="32"/>
          <w:rtl/>
          <w:lang w:bidi="fa-IR"/>
        </w:rPr>
      </w:pPr>
    </w:p>
    <w:p w14:paraId="3F7D1532" w14:textId="459836A6" w:rsidR="001D3775" w:rsidRPr="001D3775" w:rsidRDefault="00D26024" w:rsidP="001D3775">
      <w:pPr>
        <w:pStyle w:val="NormalWeb"/>
        <w:ind w:left="426"/>
        <w:rPr>
          <w:sz w:val="20"/>
          <w:szCs w:val="20"/>
        </w:rPr>
      </w:pPr>
      <w:r w:rsidRPr="001D3775">
        <w:rPr>
          <w:rFonts w:cs="Nazanin"/>
          <w:b/>
          <w:bCs/>
        </w:rPr>
        <w:t>Keywords</w:t>
      </w:r>
      <w:r w:rsidRPr="00D26024">
        <w:rPr>
          <w:rFonts w:cs="Traditional Arabic"/>
          <w:sz w:val="20"/>
          <w:szCs w:val="20"/>
        </w:rPr>
        <w:t>:</w:t>
      </w:r>
      <w:r w:rsidR="001D3775">
        <w:rPr>
          <w:rFonts w:cs="Traditional Arabic" w:hint="cs"/>
          <w:b/>
          <w:bCs/>
          <w:sz w:val="20"/>
          <w:szCs w:val="20"/>
          <w:rtl/>
        </w:rPr>
        <w:t xml:space="preserve"> </w:t>
      </w:r>
      <w:r w:rsidR="001D3775" w:rsidRPr="001D3775">
        <w:rPr>
          <w:sz w:val="20"/>
          <w:szCs w:val="20"/>
        </w:rPr>
        <w:t>School Health Education</w:t>
      </w:r>
      <w:r w:rsidR="001D3775" w:rsidRPr="001D3775">
        <w:rPr>
          <w:rFonts w:hint="cs"/>
          <w:sz w:val="20"/>
          <w:szCs w:val="20"/>
          <w:rtl/>
        </w:rPr>
        <w:t>-</w:t>
      </w:r>
      <w:r w:rsidR="001D3775" w:rsidRPr="001D3775">
        <w:rPr>
          <w:sz w:val="20"/>
          <w:szCs w:val="20"/>
        </w:rPr>
        <w:t>Health Promoting Schools (HPS)</w:t>
      </w:r>
      <w:r w:rsidR="001D3775" w:rsidRPr="001D3775">
        <w:rPr>
          <w:rFonts w:hint="cs"/>
          <w:sz w:val="20"/>
          <w:szCs w:val="20"/>
          <w:rtl/>
        </w:rPr>
        <w:t>-</w:t>
      </w:r>
      <w:r w:rsidR="001D3775" w:rsidRPr="001D3775">
        <w:rPr>
          <w:sz w:val="20"/>
          <w:szCs w:val="20"/>
        </w:rPr>
        <w:t>eHealth and mHealth</w:t>
      </w:r>
      <w:r w:rsidR="001D3775" w:rsidRPr="001D3775">
        <w:rPr>
          <w:rFonts w:hint="cs"/>
          <w:sz w:val="20"/>
          <w:szCs w:val="20"/>
          <w:rtl/>
        </w:rPr>
        <w:t>-</w:t>
      </w:r>
      <w:r w:rsidR="001D3775" w:rsidRPr="001D3775">
        <w:rPr>
          <w:sz w:val="20"/>
          <w:szCs w:val="20"/>
        </w:rPr>
        <w:t>Adolescent Health</w:t>
      </w:r>
      <w:r w:rsidR="001D3775" w:rsidRPr="001D3775">
        <w:rPr>
          <w:rFonts w:hint="cs"/>
          <w:sz w:val="20"/>
          <w:szCs w:val="20"/>
          <w:rtl/>
        </w:rPr>
        <w:t>-</w:t>
      </w:r>
      <w:r w:rsidR="001D3775" w:rsidRPr="001D3775">
        <w:rPr>
          <w:sz w:val="20"/>
          <w:szCs w:val="20"/>
        </w:rPr>
        <w:t>Digital Addiction Prevention</w:t>
      </w:r>
    </w:p>
    <w:p w14:paraId="552DAD8A" w14:textId="3CA30717" w:rsidR="001D3775" w:rsidRPr="001D3775" w:rsidRDefault="001D3775" w:rsidP="001D3775">
      <w:pPr>
        <w:pStyle w:val="NormalWeb"/>
        <w:rPr>
          <w:sz w:val="22"/>
          <w:szCs w:val="22"/>
        </w:rPr>
      </w:pPr>
    </w:p>
    <w:p w14:paraId="5FAE84D0" w14:textId="75834FD5" w:rsidR="00D14553" w:rsidRPr="001D3775" w:rsidRDefault="00D14553" w:rsidP="001D3775">
      <w:pPr>
        <w:pStyle w:val="NormalWeb"/>
        <w:rPr>
          <w:sz w:val="20"/>
          <w:szCs w:val="20"/>
          <w:rtl/>
        </w:rPr>
      </w:pPr>
    </w:p>
    <w:p w14:paraId="4529F6EE" w14:textId="77777777" w:rsidR="00D14553" w:rsidRPr="00D14553" w:rsidRDefault="00D14553" w:rsidP="00D14553">
      <w:pPr>
        <w:bidi/>
        <w:jc w:val="center"/>
        <w:rPr>
          <w:rFonts w:cs="Nazanin"/>
          <w:b/>
          <w:bCs/>
          <w:sz w:val="28"/>
          <w:szCs w:val="32"/>
          <w:rtl/>
          <w:lang w:bidi="fa-IR"/>
        </w:rPr>
      </w:pPr>
    </w:p>
    <w:p w14:paraId="75F2DA5B" w14:textId="77777777" w:rsidR="00D14553" w:rsidRDefault="00D14553" w:rsidP="00D14553">
      <w:pPr>
        <w:bidi/>
        <w:jc w:val="center"/>
        <w:rPr>
          <w:rFonts w:cs="Nazanin"/>
          <w:b/>
          <w:bCs/>
          <w:sz w:val="28"/>
          <w:szCs w:val="32"/>
          <w:lang w:bidi="fa-IR"/>
        </w:rPr>
      </w:pPr>
    </w:p>
    <w:p w14:paraId="00AFC35B" w14:textId="7F2D129B" w:rsidR="00D26024" w:rsidRDefault="00D26024" w:rsidP="00D26024">
      <w:pPr>
        <w:bidi/>
        <w:jc w:val="center"/>
        <w:rPr>
          <w:rFonts w:cs="Nazanin"/>
          <w:b/>
          <w:bCs/>
          <w:sz w:val="28"/>
          <w:szCs w:val="32"/>
          <w:lang w:bidi="fa-IR"/>
        </w:rPr>
      </w:pPr>
    </w:p>
    <w:p w14:paraId="71E63BEB" w14:textId="722A2DF9" w:rsidR="00D26024" w:rsidRDefault="00D26024" w:rsidP="00D26024">
      <w:pPr>
        <w:bidi/>
        <w:jc w:val="center"/>
        <w:rPr>
          <w:rFonts w:cs="Nazanin"/>
          <w:b/>
          <w:bCs/>
          <w:sz w:val="28"/>
          <w:szCs w:val="32"/>
          <w:lang w:bidi="fa-IR"/>
        </w:rPr>
      </w:pPr>
    </w:p>
    <w:p w14:paraId="2895999D" w14:textId="050EC217" w:rsidR="00D26024" w:rsidRDefault="00D26024" w:rsidP="00D26024">
      <w:pPr>
        <w:bidi/>
        <w:jc w:val="center"/>
        <w:rPr>
          <w:rFonts w:cs="Nazanin"/>
          <w:b/>
          <w:bCs/>
          <w:sz w:val="28"/>
          <w:szCs w:val="32"/>
          <w:lang w:bidi="fa-IR"/>
        </w:rPr>
      </w:pPr>
    </w:p>
    <w:p w14:paraId="0E32E8FD" w14:textId="76B39F8C" w:rsidR="00D26024" w:rsidRDefault="00D26024" w:rsidP="00D26024">
      <w:pPr>
        <w:bidi/>
        <w:jc w:val="center"/>
        <w:rPr>
          <w:rFonts w:cs="Nazanin"/>
          <w:b/>
          <w:bCs/>
          <w:sz w:val="28"/>
          <w:szCs w:val="32"/>
          <w:rtl/>
          <w:lang w:bidi="fa-IR"/>
        </w:rPr>
      </w:pPr>
    </w:p>
    <w:p w14:paraId="5220FA4A" w14:textId="4F529FB2" w:rsidR="0076212E" w:rsidRPr="00D14553" w:rsidRDefault="0076212E" w:rsidP="0076212E">
      <w:pPr>
        <w:bidi/>
        <w:jc w:val="center"/>
        <w:rPr>
          <w:rFonts w:cs="Nazanin"/>
          <w:b/>
          <w:bCs/>
          <w:sz w:val="28"/>
          <w:szCs w:val="32"/>
          <w:rtl/>
          <w:lang w:bidi="fa-IR"/>
        </w:rPr>
      </w:pPr>
    </w:p>
    <w:p w14:paraId="562ED48E" w14:textId="1D179199" w:rsidR="00D14553" w:rsidRDefault="00D14553" w:rsidP="00D14553">
      <w:pPr>
        <w:bidi/>
        <w:jc w:val="center"/>
        <w:rPr>
          <w:rFonts w:cs="Nazanin"/>
          <w:b/>
          <w:bCs/>
          <w:sz w:val="28"/>
          <w:szCs w:val="32"/>
          <w:lang w:bidi="fa-IR"/>
        </w:rPr>
      </w:pPr>
    </w:p>
    <w:p w14:paraId="5D9D2619" w14:textId="77777777" w:rsidR="000B200C" w:rsidRDefault="000B200C" w:rsidP="000B200C">
      <w:pPr>
        <w:bidi/>
        <w:jc w:val="center"/>
        <w:rPr>
          <w:rFonts w:cs="Nazanin"/>
          <w:b/>
          <w:bCs/>
          <w:sz w:val="28"/>
          <w:szCs w:val="32"/>
          <w:rtl/>
          <w:lang w:bidi="fa-IR"/>
        </w:rPr>
      </w:pPr>
    </w:p>
    <w:p w14:paraId="65A6F1F0" w14:textId="77777777" w:rsidR="001D3775" w:rsidRDefault="001D3775" w:rsidP="001D3775">
      <w:pPr>
        <w:bidi/>
        <w:jc w:val="center"/>
        <w:rPr>
          <w:rFonts w:cs="Nazanin"/>
          <w:b/>
          <w:bCs/>
          <w:sz w:val="28"/>
          <w:szCs w:val="32"/>
          <w:rtl/>
          <w:lang w:bidi="fa-IR"/>
        </w:rPr>
      </w:pPr>
    </w:p>
    <w:p w14:paraId="5E1ACF86" w14:textId="77777777" w:rsidR="001D3775" w:rsidRDefault="001D3775" w:rsidP="001D3775">
      <w:pPr>
        <w:tabs>
          <w:tab w:val="right" w:pos="8079"/>
        </w:tabs>
        <w:bidi/>
        <w:jc w:val="center"/>
        <w:rPr>
          <w:rFonts w:cs="Nazanin"/>
          <w:b/>
          <w:bCs/>
          <w:sz w:val="28"/>
          <w:szCs w:val="32"/>
          <w:lang w:bidi="fa-IR"/>
        </w:rPr>
      </w:pPr>
    </w:p>
    <w:p w14:paraId="70CB771A" w14:textId="270D721F" w:rsidR="000B200C" w:rsidRDefault="000B200C" w:rsidP="000B200C">
      <w:pPr>
        <w:bidi/>
        <w:jc w:val="center"/>
        <w:rPr>
          <w:rFonts w:cs="Nazanin"/>
          <w:b/>
          <w:bCs/>
          <w:sz w:val="28"/>
          <w:szCs w:val="32"/>
          <w:lang w:bidi="fa-IR"/>
        </w:rPr>
      </w:pPr>
    </w:p>
    <w:bookmarkEnd w:id="1"/>
    <w:bookmarkEnd w:id="2"/>
    <w:p w14:paraId="5A833790" w14:textId="070266A2" w:rsidR="001D3775" w:rsidRDefault="001D3775" w:rsidP="001D3775">
      <w:pPr>
        <w:spacing w:after="120"/>
        <w:rPr>
          <w:rFonts w:cs="Nazanin"/>
          <w:b/>
          <w:bCs/>
          <w:sz w:val="22"/>
          <w:szCs w:val="22"/>
          <w:rtl/>
          <w:lang w:bidi="fa-IR"/>
        </w:rPr>
      </w:pPr>
      <w:r>
        <w:rPr>
          <w:rFonts w:cs="Nazanin"/>
          <w:b/>
          <w:bCs/>
          <w:sz w:val="22"/>
          <w:szCs w:val="22"/>
          <w:lang w:bidi="fa-IR"/>
        </w:rPr>
        <w:t>1.</w:t>
      </w:r>
      <w:r w:rsidR="000B200C" w:rsidRPr="001D3775">
        <w:rPr>
          <w:rFonts w:cs="Nazanin"/>
          <w:b/>
          <w:bCs/>
          <w:sz w:val="22"/>
          <w:szCs w:val="22"/>
          <w:lang w:bidi="fa-IR"/>
        </w:rPr>
        <w:t>Introduction</w:t>
      </w:r>
    </w:p>
    <w:p w14:paraId="5FD1B477" w14:textId="297DCF37" w:rsidR="001D3775" w:rsidRDefault="001D3775" w:rsidP="001D3775">
      <w:pPr>
        <w:jc w:val="both"/>
        <w:rPr>
          <w:rFonts w:cs="Times New Roman"/>
        </w:rPr>
      </w:pPr>
      <w:r w:rsidRPr="001D3775">
        <w:rPr>
          <w:rFonts w:cs="Times New Roman"/>
        </w:rPr>
        <w:t>School health education has seen remarkable progress in recent years, fueled by the urgent need to address adolescent health challenges amplified by the COVID-19 pandemic, rapid digitalization, rising mental health concerns, and growing recognition of health inequities [1]. As a planned process to develop knowledge, skills, attitudes, and competencies for healthy decision-making, school health education leverages schools' unique reach to nearly all youth, making it a powerful public health tool [2]. Recent research from 2023–2025 reflects a dynamic field adapting to contemporary issues, with innovations in intervention design, delivery modes, and evaluation methods.</w:t>
      </w:r>
      <w:r w:rsidRPr="001D3775">
        <w:rPr>
          <w:rFonts w:cs="Times New Roman" w:hint="cs"/>
          <w:rtl/>
        </w:rPr>
        <w:t xml:space="preserve"> </w:t>
      </w:r>
      <w:r w:rsidRPr="001D3775">
        <w:rPr>
          <w:rFonts w:cs="Times New Roman"/>
        </w:rPr>
        <w:t>The post-pandemic landscape has exposed persistent vulnerabilities in student well-being. Large-scale surveillance systems report elevated screen time, sedentary behaviors, mental health symptoms, and disruptions in nutrition and physical activity [3]. For example, associations between excessive screen use and adverse health outcomes—like poorer sleep, higher depression rates, and reduced academic performance—have prompted targeted digital health education efforts [4]. Concurrently, mental health crises among youth have accelerated investments in school-based literacy programs, emphasizing stigma reduction, help-seeking, and resilience building [5].</w:t>
      </w:r>
      <w:r w:rsidRPr="001D3775">
        <w:rPr>
          <w:rFonts w:cs="Times New Roman" w:hint="cs"/>
          <w:rtl/>
        </w:rPr>
        <w:t xml:space="preserve"> </w:t>
      </w:r>
      <w:r w:rsidRPr="001D3775">
        <w:rPr>
          <w:rFonts w:cs="Times New Roman"/>
        </w:rPr>
        <w:t>A key advance is the strengthened Health Promoting Schools (HPS) framework, with updated global standards and implementation guidelines emphasizing whole-school approaches [6]. Recent systematic reviews affirm HPS's effectiveness in promoting mental health, preventing noncommunicable diseases, and fostering supportive environments through policies, community links, and staff well-being [7]. Studies highlight multicomponent interventions—combining curriculum, environmental changes, and family engagement—as yielding modest but significant improvements in outcomes like reduced BMI, enhanced physical activity, and better emotional regulation [8].</w:t>
      </w:r>
      <w:r w:rsidRPr="001D3775">
        <w:rPr>
          <w:rFonts w:cs="Times New Roman" w:hint="cs"/>
          <w:rtl/>
        </w:rPr>
        <w:t xml:space="preserve"> </w:t>
      </w:r>
      <w:r w:rsidRPr="001D3775">
        <w:rPr>
          <w:rFonts w:cs="Times New Roman"/>
        </w:rPr>
        <w:t>Mental health literacy interventions represent another major stride. Meta-analyses of teacher-delivered and digital programs show improvements in knowledge, attitudes, and behaviors, with particular benefits in reducing stigma and enhancing support-seeking [9]. Universal school-based e-health tools have gained traction, demonstrating efficacy in addressing anxiety, depression, and well-being through accessible, scalable platforms [10]. Emerging evidence also supports resilience-focused interventions, with systematic reviews indicating positive effects on coping skills among children and adolescents [11].</w:t>
      </w:r>
      <w:r w:rsidRPr="001D3775">
        <w:rPr>
          <w:rFonts w:cs="Times New Roman" w:hint="cs"/>
          <w:rtl/>
        </w:rPr>
        <w:t xml:space="preserve"> </w:t>
      </w:r>
      <w:r w:rsidRPr="001D3775">
        <w:rPr>
          <w:rFonts w:cs="Times New Roman"/>
        </w:rPr>
        <w:t>Digital transformation drives innovation, including hybrid models and gamified apps for nutrition, vaping prevention, and screen time regulation [12]. However, equity remains a critical focus: culturally tailored programs for underserved groups, including low-resource settings, show promise in closing disparities [13]. Implementation science advances identify barriers—such as teacher capacity and resource constraints—while highlighting facilitators like leadership support and youth co-design [14].</w:t>
      </w:r>
      <w:r w:rsidRPr="001D3775">
        <w:rPr>
          <w:rFonts w:cs="Times New Roman" w:hint="cs"/>
          <w:rtl/>
        </w:rPr>
        <w:t xml:space="preserve"> </w:t>
      </w:r>
      <w:r w:rsidRPr="001D3775">
        <w:rPr>
          <w:rFonts w:cs="Times New Roman"/>
        </w:rPr>
        <w:t>Methodological rigor has improved, with more randomized trials, longitudinal designs, and mixed-methods approaches. Gap maps reveal concentrated evidence in mental health and physical activity, with growing attention to planetary health links and social-emotional learning [15]. Despite progress, challenges persist: inconsistent fidelity, rapid societal changes, and uneven global access demand adaptive, low-cost solutions.</w:t>
      </w:r>
      <w:r w:rsidRPr="001D3775">
        <w:rPr>
          <w:rFonts w:cs="Times New Roman" w:hint="cs"/>
          <w:rtl/>
        </w:rPr>
        <w:t xml:space="preserve"> </w:t>
      </w:r>
      <w:r w:rsidRPr="001D3775">
        <w:rPr>
          <w:rFonts w:cs="Times New Roman"/>
        </w:rPr>
        <w:t>This review synthesizes advances from 2023–2025, drawing on systematic reviews, trials, and frameworks from leading sources. It explores key domains—whole-school models, mental health and digital interventions, physical health promotion, and equity considerations—while identifying implementation insights and future directions. The aim is to guide policy, practice, and research toward maximizing school health education's impact in an evolving context.</w:t>
      </w:r>
    </w:p>
    <w:p w14:paraId="5B617BBC" w14:textId="77777777" w:rsidR="001D3775" w:rsidRDefault="001D3775" w:rsidP="001D3775">
      <w:pPr>
        <w:jc w:val="both"/>
        <w:rPr>
          <w:rFonts w:cs="Times New Roman"/>
        </w:rPr>
      </w:pPr>
    </w:p>
    <w:p w14:paraId="0840CB41" w14:textId="0CD96DE1" w:rsidR="001D3775" w:rsidRPr="001D3775" w:rsidRDefault="001D3775" w:rsidP="001D3775">
      <w:pPr>
        <w:spacing w:after="120"/>
        <w:rPr>
          <w:rFonts w:cs="Nazanin"/>
          <w:b/>
          <w:bCs/>
          <w:sz w:val="22"/>
          <w:szCs w:val="22"/>
          <w:lang w:bidi="fa-IR"/>
        </w:rPr>
      </w:pPr>
      <w:r>
        <w:rPr>
          <w:rFonts w:cs="Nazanin"/>
          <w:b/>
          <w:bCs/>
          <w:sz w:val="22"/>
          <w:szCs w:val="22"/>
          <w:lang w:bidi="fa-IR"/>
        </w:rPr>
        <w:t>2.</w:t>
      </w:r>
      <w:r w:rsidRPr="001D3775">
        <w:rPr>
          <w:rFonts w:cs="Nazanin"/>
          <w:b/>
          <w:bCs/>
          <w:sz w:val="22"/>
          <w:szCs w:val="22"/>
          <w:lang w:bidi="fa-IR"/>
        </w:rPr>
        <w:t xml:space="preserve"> Advances in Whole-School Approaches and the Health Promoting Schools Framework</w:t>
      </w:r>
    </w:p>
    <w:p w14:paraId="53B1FD40" w14:textId="77777777" w:rsidR="001D3775" w:rsidRPr="001D3775" w:rsidRDefault="001D3775" w:rsidP="001D3775">
      <w:pPr>
        <w:jc w:val="both"/>
        <w:rPr>
          <w:rFonts w:cs="Times New Roman"/>
        </w:rPr>
      </w:pPr>
      <w:r w:rsidRPr="001D3775">
        <w:rPr>
          <w:rFonts w:cs="Times New Roman"/>
        </w:rPr>
        <w:t>Recent research from 2024–2025 reinforces the Health Promoting Schools (HPS) framework as a leading comprehensive model for school health education, with updated global standards and implementation guidance driving progress [11]. The World Health Organization's 2024 initiatives emphasize making every school a health-promoting school through eight key domains: healthy policies, physical and social environments, community links, health skills, and staff well-being [12]. These standards provide a common framework for health and education sectors to accelerate equitable programs, particularly post-pandemic [13].</w:t>
      </w:r>
      <w:r w:rsidRPr="001D3775">
        <w:rPr>
          <w:rFonts w:cs="Times New Roman" w:hint="cs"/>
          <w:rtl/>
        </w:rPr>
        <w:t xml:space="preserve"> </w:t>
      </w:r>
      <w:r w:rsidRPr="001D3775">
        <w:rPr>
          <w:rFonts w:cs="Times New Roman"/>
        </w:rPr>
        <w:t>Systematic reviews and evidence gap maps from 2025 highlight strong impacts on mental health promotion, resilience, and noncommunicable disease prevention [14]. Multicomponent interventions—integrating curriculum-based education with environmental modifications like healthier meals and active spaces—demonstrate modest but significant reductions in BMI, increased physical activity, and improved well-being [15]. Implementation studies identify critical facilitators: leadership commitment, teacher professional development, and student/youth co-design for greater ownership and sustainability [16].</w:t>
      </w:r>
      <w:r w:rsidRPr="001D3775">
        <w:rPr>
          <w:rFonts w:cs="Times New Roman" w:hint="cs"/>
          <w:rtl/>
        </w:rPr>
        <w:t xml:space="preserve"> </w:t>
      </w:r>
      <w:r w:rsidRPr="001D3775">
        <w:rPr>
          <w:rFonts w:cs="Times New Roman"/>
        </w:rPr>
        <w:t>Innovations include hybrid digital integration for monitoring and engagement, especially in low-resource settings where adapted HPS models prove feasible and equity-enhancing [17]. Qualitative research underscores democratic student participation in shaping school environments [18]. Emerging trends link HPS to planetary health, connecting personal behaviors to environmental sustainability, and addressing contemporary risks like vaping through whole-school strategies [19].</w:t>
      </w:r>
      <w:r w:rsidRPr="001D3775">
        <w:rPr>
          <w:rFonts w:cs="Times New Roman" w:hint="cs"/>
          <w:rtl/>
        </w:rPr>
        <w:t xml:space="preserve"> </w:t>
      </w:r>
      <w:r w:rsidRPr="001D3775">
        <w:rPr>
          <w:rFonts w:cs="Times New Roman"/>
        </w:rPr>
        <w:t>Challenges persist in fidelity and resource allocation, but new guidelines outline cyclical implementation steps to overcome them [20]. Overall, 2024–2025 advances position HPS as highly adaptable to evolving adolescent needs, including digital threats and health inequities [21].</w:t>
      </w:r>
    </w:p>
    <w:p w14:paraId="1C4117F5" w14:textId="77777777" w:rsidR="001D3775" w:rsidRDefault="001D3775" w:rsidP="001D3775">
      <w:pPr>
        <w:jc w:val="both"/>
        <w:rPr>
          <w:rFonts w:cs="Times New Roman"/>
        </w:rPr>
      </w:pPr>
    </w:p>
    <w:p w14:paraId="170E0FA5" w14:textId="77777777" w:rsidR="001D3775" w:rsidRDefault="001D3775" w:rsidP="001D3775">
      <w:pPr>
        <w:spacing w:before="100" w:beforeAutospacing="1" w:after="100" w:afterAutospacing="1"/>
        <w:rPr>
          <w:rFonts w:cs="Times New Roman"/>
          <w:b/>
          <w:bCs/>
          <w:sz w:val="24"/>
          <w:szCs w:val="24"/>
        </w:rPr>
      </w:pPr>
    </w:p>
    <w:p w14:paraId="62E2DE5E" w14:textId="338728F5" w:rsidR="001D3775" w:rsidRPr="001D3775" w:rsidRDefault="001D3775" w:rsidP="001D3775">
      <w:pPr>
        <w:spacing w:before="100" w:beforeAutospacing="1" w:after="100" w:afterAutospacing="1"/>
        <w:jc w:val="center"/>
        <w:rPr>
          <w:rFonts w:cs="Times New Roman"/>
          <w:sz w:val="18"/>
          <w:szCs w:val="18"/>
        </w:rPr>
      </w:pPr>
      <w:r w:rsidRPr="001D3775">
        <w:rPr>
          <w:rFonts w:cs="Times New Roman"/>
          <w:b/>
          <w:bCs/>
          <w:sz w:val="18"/>
          <w:szCs w:val="18"/>
        </w:rPr>
        <w:t>Table 1</w:t>
      </w:r>
      <w:r>
        <w:rPr>
          <w:rFonts w:cs="Times New Roman"/>
          <w:b/>
          <w:bCs/>
          <w:sz w:val="18"/>
          <w:szCs w:val="18"/>
        </w:rPr>
        <w:t>.</w:t>
      </w:r>
      <w:r w:rsidRPr="001D3775">
        <w:rPr>
          <w:rFonts w:cs="Times New Roman"/>
          <w:b/>
          <w:bCs/>
          <w:sz w:val="18"/>
          <w:szCs w:val="18"/>
        </w:rPr>
        <w:t xml:space="preserve"> Key Recent Advances in Health Promoting Schools Framework (2024–2025)</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261"/>
        <w:gridCol w:w="3115"/>
      </w:tblGrid>
      <w:tr w:rsidR="001D3775" w:rsidRPr="001D3775" w14:paraId="5898486E" w14:textId="77777777" w:rsidTr="00424DD1">
        <w:tc>
          <w:tcPr>
            <w:tcW w:w="3969" w:type="dxa"/>
            <w:tcBorders>
              <w:bottom w:val="single" w:sz="4" w:space="0" w:color="auto"/>
            </w:tcBorders>
            <w:vAlign w:val="center"/>
          </w:tcPr>
          <w:p w14:paraId="6E499434" w14:textId="614F4DD1" w:rsidR="001D3775" w:rsidRPr="001D3775" w:rsidRDefault="001D3775" w:rsidP="001D3775">
            <w:pPr>
              <w:jc w:val="center"/>
              <w:rPr>
                <w:rFonts w:cs="Times New Roman"/>
                <w:sz w:val="18"/>
                <w:szCs w:val="18"/>
              </w:rPr>
            </w:pPr>
            <w:r w:rsidRPr="001D3775">
              <w:rPr>
                <w:rFonts w:cs="Times New Roman"/>
                <w:sz w:val="18"/>
                <w:szCs w:val="18"/>
              </w:rPr>
              <w:t>Study/Source (Year)</w:t>
            </w:r>
          </w:p>
        </w:tc>
        <w:tc>
          <w:tcPr>
            <w:tcW w:w="2261" w:type="dxa"/>
            <w:tcBorders>
              <w:bottom w:val="single" w:sz="4" w:space="0" w:color="auto"/>
            </w:tcBorders>
            <w:vAlign w:val="center"/>
          </w:tcPr>
          <w:p w14:paraId="17C77672" w14:textId="3A6922F8" w:rsidR="001D3775" w:rsidRPr="001D3775" w:rsidRDefault="001D3775" w:rsidP="001D3775">
            <w:pPr>
              <w:jc w:val="center"/>
              <w:rPr>
                <w:rFonts w:cs="Times New Roman"/>
                <w:sz w:val="18"/>
                <w:szCs w:val="18"/>
              </w:rPr>
            </w:pPr>
            <w:r w:rsidRPr="001D3775">
              <w:rPr>
                <w:rFonts w:cs="Times New Roman"/>
                <w:sz w:val="18"/>
                <w:szCs w:val="18"/>
              </w:rPr>
              <w:t>Focus Area</w:t>
            </w:r>
          </w:p>
        </w:tc>
        <w:tc>
          <w:tcPr>
            <w:tcW w:w="3115" w:type="dxa"/>
            <w:tcBorders>
              <w:bottom w:val="single" w:sz="4" w:space="0" w:color="auto"/>
            </w:tcBorders>
            <w:vAlign w:val="center"/>
          </w:tcPr>
          <w:p w14:paraId="5A17A816" w14:textId="6E6F47FA" w:rsidR="001D3775" w:rsidRPr="001D3775" w:rsidRDefault="001D3775" w:rsidP="001D3775">
            <w:pPr>
              <w:jc w:val="center"/>
              <w:rPr>
                <w:rFonts w:cs="Times New Roman"/>
                <w:sz w:val="18"/>
                <w:szCs w:val="18"/>
              </w:rPr>
            </w:pPr>
            <w:r w:rsidRPr="001D3775">
              <w:rPr>
                <w:rFonts w:cs="Times New Roman"/>
                <w:sz w:val="18"/>
                <w:szCs w:val="18"/>
              </w:rPr>
              <w:t>Key Advances/Findings</w:t>
            </w:r>
          </w:p>
        </w:tc>
      </w:tr>
      <w:tr w:rsidR="001D3775" w:rsidRPr="001D3775" w14:paraId="7D2D1495" w14:textId="77777777" w:rsidTr="00424DD1">
        <w:tc>
          <w:tcPr>
            <w:tcW w:w="3969" w:type="dxa"/>
            <w:tcBorders>
              <w:top w:val="single" w:sz="4" w:space="0" w:color="auto"/>
            </w:tcBorders>
            <w:vAlign w:val="center"/>
          </w:tcPr>
          <w:p w14:paraId="651F8823" w14:textId="1EDF8BB1" w:rsidR="001D3775" w:rsidRPr="001D3775" w:rsidRDefault="001D3775" w:rsidP="001D3775">
            <w:pPr>
              <w:jc w:val="center"/>
              <w:rPr>
                <w:rFonts w:cs="Times New Roman"/>
                <w:sz w:val="18"/>
                <w:szCs w:val="18"/>
              </w:rPr>
            </w:pPr>
            <w:r w:rsidRPr="001D3775">
              <w:rPr>
                <w:rFonts w:cs="Times New Roman"/>
                <w:sz w:val="18"/>
                <w:szCs w:val="18"/>
              </w:rPr>
              <w:t>WHO Implementation Guidance (2024) [12]</w:t>
            </w:r>
          </w:p>
        </w:tc>
        <w:tc>
          <w:tcPr>
            <w:tcW w:w="2261" w:type="dxa"/>
            <w:tcBorders>
              <w:top w:val="single" w:sz="4" w:space="0" w:color="auto"/>
            </w:tcBorders>
            <w:vAlign w:val="center"/>
          </w:tcPr>
          <w:p w14:paraId="05B6A14D" w14:textId="00FEC85E" w:rsidR="001D3775" w:rsidRPr="001D3775" w:rsidRDefault="001D3775" w:rsidP="001D3775">
            <w:pPr>
              <w:jc w:val="center"/>
              <w:rPr>
                <w:rFonts w:cs="Times New Roman"/>
                <w:sz w:val="18"/>
                <w:szCs w:val="18"/>
              </w:rPr>
            </w:pPr>
            <w:r w:rsidRPr="001D3775">
              <w:rPr>
                <w:rFonts w:cs="Times New Roman"/>
                <w:sz w:val="18"/>
                <w:szCs w:val="18"/>
              </w:rPr>
              <w:t>Global standards</w:t>
            </w:r>
          </w:p>
        </w:tc>
        <w:tc>
          <w:tcPr>
            <w:tcW w:w="3115" w:type="dxa"/>
            <w:tcBorders>
              <w:top w:val="single" w:sz="4" w:space="0" w:color="auto"/>
            </w:tcBorders>
            <w:vAlign w:val="center"/>
          </w:tcPr>
          <w:p w14:paraId="4A56C0BE" w14:textId="49596111" w:rsidR="001D3775" w:rsidRPr="001D3775" w:rsidRDefault="001D3775" w:rsidP="001D3775">
            <w:pPr>
              <w:jc w:val="center"/>
              <w:rPr>
                <w:rFonts w:cs="Times New Roman"/>
                <w:sz w:val="18"/>
                <w:szCs w:val="18"/>
              </w:rPr>
            </w:pPr>
            <w:r w:rsidRPr="001D3775">
              <w:rPr>
                <w:rFonts w:cs="Times New Roman"/>
                <w:sz w:val="18"/>
                <w:szCs w:val="18"/>
              </w:rPr>
              <w:t>Eight domains and cyclical implementation steps</w:t>
            </w:r>
          </w:p>
        </w:tc>
      </w:tr>
      <w:tr w:rsidR="001D3775" w:rsidRPr="001D3775" w14:paraId="7D91637F" w14:textId="77777777" w:rsidTr="00424DD1">
        <w:tc>
          <w:tcPr>
            <w:tcW w:w="3969" w:type="dxa"/>
            <w:vAlign w:val="center"/>
          </w:tcPr>
          <w:p w14:paraId="457B96FC" w14:textId="04ED9562" w:rsidR="001D3775" w:rsidRPr="001D3775" w:rsidRDefault="001D3775" w:rsidP="001D3775">
            <w:pPr>
              <w:jc w:val="center"/>
              <w:rPr>
                <w:rFonts w:cs="Times New Roman"/>
                <w:sz w:val="18"/>
                <w:szCs w:val="18"/>
              </w:rPr>
            </w:pPr>
            <w:r w:rsidRPr="001D3775">
              <w:rPr>
                <w:rFonts w:cs="Times New Roman"/>
                <w:sz w:val="18"/>
                <w:szCs w:val="18"/>
              </w:rPr>
              <w:t>Intervention Activities (2025) [11]</w:t>
            </w:r>
          </w:p>
        </w:tc>
        <w:tc>
          <w:tcPr>
            <w:tcW w:w="2261" w:type="dxa"/>
            <w:vAlign w:val="center"/>
          </w:tcPr>
          <w:p w14:paraId="315C08F4" w14:textId="29888521" w:rsidR="001D3775" w:rsidRPr="001D3775" w:rsidRDefault="001D3775" w:rsidP="001D3775">
            <w:pPr>
              <w:jc w:val="center"/>
              <w:rPr>
                <w:rFonts w:cs="Times New Roman"/>
                <w:sz w:val="18"/>
                <w:szCs w:val="18"/>
              </w:rPr>
            </w:pPr>
            <w:r w:rsidRPr="001D3775">
              <w:rPr>
                <w:rFonts w:cs="Times New Roman"/>
                <w:sz w:val="18"/>
                <w:szCs w:val="18"/>
              </w:rPr>
              <w:t>Universal strategies</w:t>
            </w:r>
          </w:p>
        </w:tc>
        <w:tc>
          <w:tcPr>
            <w:tcW w:w="3115" w:type="dxa"/>
            <w:vAlign w:val="center"/>
          </w:tcPr>
          <w:p w14:paraId="32D05674" w14:textId="75680320" w:rsidR="001D3775" w:rsidRPr="001D3775" w:rsidRDefault="001D3775" w:rsidP="001D3775">
            <w:pPr>
              <w:jc w:val="center"/>
              <w:rPr>
                <w:rFonts w:cs="Times New Roman"/>
                <w:sz w:val="18"/>
                <w:szCs w:val="18"/>
              </w:rPr>
            </w:pPr>
            <w:r w:rsidRPr="001D3775">
              <w:rPr>
                <w:rFonts w:cs="Times New Roman"/>
                <w:sz w:val="18"/>
                <w:szCs w:val="18"/>
              </w:rPr>
              <w:t>Advocacy for HPS in every school</w:t>
            </w:r>
          </w:p>
        </w:tc>
      </w:tr>
      <w:tr w:rsidR="001D3775" w:rsidRPr="001D3775" w14:paraId="30C58928" w14:textId="77777777" w:rsidTr="00424DD1">
        <w:tc>
          <w:tcPr>
            <w:tcW w:w="3969" w:type="dxa"/>
            <w:vAlign w:val="center"/>
          </w:tcPr>
          <w:p w14:paraId="4F32FE1A" w14:textId="252B8120" w:rsidR="001D3775" w:rsidRPr="001D3775" w:rsidRDefault="001D3775" w:rsidP="001D3775">
            <w:pPr>
              <w:jc w:val="center"/>
              <w:rPr>
                <w:rFonts w:cs="Times New Roman"/>
                <w:sz w:val="18"/>
                <w:szCs w:val="18"/>
              </w:rPr>
            </w:pPr>
            <w:r w:rsidRPr="001D3775">
              <w:rPr>
                <w:rFonts w:cs="Times New Roman"/>
                <w:sz w:val="18"/>
                <w:szCs w:val="18"/>
              </w:rPr>
              <w:t>Evidence Gap Map (2025) [14]</w:t>
            </w:r>
          </w:p>
        </w:tc>
        <w:tc>
          <w:tcPr>
            <w:tcW w:w="2261" w:type="dxa"/>
            <w:vAlign w:val="center"/>
          </w:tcPr>
          <w:p w14:paraId="724B0090" w14:textId="110567F1" w:rsidR="001D3775" w:rsidRPr="001D3775" w:rsidRDefault="001D3775" w:rsidP="001D3775">
            <w:pPr>
              <w:jc w:val="center"/>
              <w:rPr>
                <w:rFonts w:cs="Times New Roman"/>
                <w:sz w:val="18"/>
                <w:szCs w:val="18"/>
              </w:rPr>
            </w:pPr>
            <w:r w:rsidRPr="001D3775">
              <w:rPr>
                <w:rFonts w:cs="Times New Roman"/>
                <w:sz w:val="18"/>
                <w:szCs w:val="18"/>
              </w:rPr>
              <w:t>Mental health &amp; resilience</w:t>
            </w:r>
          </w:p>
        </w:tc>
        <w:tc>
          <w:tcPr>
            <w:tcW w:w="3115" w:type="dxa"/>
            <w:vAlign w:val="center"/>
          </w:tcPr>
          <w:p w14:paraId="42617B57" w14:textId="17714EB0" w:rsidR="001D3775" w:rsidRPr="001D3775" w:rsidRDefault="001D3775" w:rsidP="001D3775">
            <w:pPr>
              <w:jc w:val="center"/>
              <w:rPr>
                <w:rFonts w:cs="Times New Roman"/>
                <w:sz w:val="18"/>
                <w:szCs w:val="18"/>
              </w:rPr>
            </w:pPr>
            <w:r w:rsidRPr="001D3775">
              <w:rPr>
                <w:rFonts w:cs="Times New Roman"/>
                <w:sz w:val="18"/>
                <w:szCs w:val="18"/>
              </w:rPr>
              <w:t>Concentrated positive effects</w:t>
            </w:r>
          </w:p>
        </w:tc>
      </w:tr>
      <w:tr w:rsidR="001D3775" w:rsidRPr="001D3775" w14:paraId="69C40370" w14:textId="77777777" w:rsidTr="00424DD1">
        <w:tc>
          <w:tcPr>
            <w:tcW w:w="3969" w:type="dxa"/>
            <w:vAlign w:val="center"/>
          </w:tcPr>
          <w:p w14:paraId="71C45C08" w14:textId="1FC4E031" w:rsidR="001D3775" w:rsidRPr="001D3775" w:rsidRDefault="001D3775" w:rsidP="001D3775">
            <w:pPr>
              <w:jc w:val="center"/>
              <w:rPr>
                <w:rFonts w:cs="Times New Roman"/>
                <w:sz w:val="18"/>
                <w:szCs w:val="18"/>
              </w:rPr>
            </w:pPr>
            <w:r w:rsidRPr="001D3775">
              <w:rPr>
                <w:rFonts w:cs="Times New Roman"/>
                <w:sz w:val="18"/>
                <w:szCs w:val="18"/>
              </w:rPr>
              <w:t>Moving Towards HPS (2024) [15]</w:t>
            </w:r>
          </w:p>
        </w:tc>
        <w:tc>
          <w:tcPr>
            <w:tcW w:w="2261" w:type="dxa"/>
            <w:vAlign w:val="center"/>
          </w:tcPr>
          <w:p w14:paraId="150B92F9" w14:textId="5ED97EFB" w:rsidR="001D3775" w:rsidRPr="001D3775" w:rsidRDefault="001D3775" w:rsidP="001D3775">
            <w:pPr>
              <w:jc w:val="center"/>
              <w:rPr>
                <w:rFonts w:cs="Times New Roman"/>
                <w:sz w:val="18"/>
                <w:szCs w:val="18"/>
              </w:rPr>
            </w:pPr>
            <w:r w:rsidRPr="001D3775">
              <w:rPr>
                <w:rFonts w:cs="Times New Roman"/>
                <w:sz w:val="18"/>
                <w:szCs w:val="18"/>
              </w:rPr>
              <w:t>NCD prevention</w:t>
            </w:r>
          </w:p>
        </w:tc>
        <w:tc>
          <w:tcPr>
            <w:tcW w:w="3115" w:type="dxa"/>
            <w:vAlign w:val="center"/>
          </w:tcPr>
          <w:p w14:paraId="78121BDE" w14:textId="58E95273" w:rsidR="001D3775" w:rsidRPr="001D3775" w:rsidRDefault="001D3775" w:rsidP="001D3775">
            <w:pPr>
              <w:jc w:val="center"/>
              <w:rPr>
                <w:rFonts w:cs="Times New Roman"/>
                <w:sz w:val="18"/>
                <w:szCs w:val="18"/>
              </w:rPr>
            </w:pPr>
            <w:r w:rsidRPr="001D3775">
              <w:rPr>
                <w:rFonts w:cs="Times New Roman"/>
                <w:sz w:val="18"/>
                <w:szCs w:val="18"/>
              </w:rPr>
              <w:t>Multicomponent effectiveness</w:t>
            </w:r>
          </w:p>
        </w:tc>
      </w:tr>
      <w:tr w:rsidR="001D3775" w:rsidRPr="001D3775" w14:paraId="736A38E7" w14:textId="77777777" w:rsidTr="00424DD1">
        <w:tc>
          <w:tcPr>
            <w:tcW w:w="3969" w:type="dxa"/>
            <w:vAlign w:val="center"/>
          </w:tcPr>
          <w:p w14:paraId="29BD2621" w14:textId="4D15EF60" w:rsidR="001D3775" w:rsidRPr="001D3775" w:rsidRDefault="001D3775" w:rsidP="001D3775">
            <w:pPr>
              <w:jc w:val="center"/>
              <w:rPr>
                <w:rFonts w:cs="Times New Roman"/>
                <w:sz w:val="18"/>
                <w:szCs w:val="18"/>
              </w:rPr>
            </w:pPr>
            <w:r w:rsidRPr="001D3775">
              <w:rPr>
                <w:rFonts w:cs="Times New Roman"/>
                <w:sz w:val="18"/>
                <w:szCs w:val="18"/>
              </w:rPr>
              <w:t>Student Engagement (2025) [18]</w:t>
            </w:r>
          </w:p>
        </w:tc>
        <w:tc>
          <w:tcPr>
            <w:tcW w:w="2261" w:type="dxa"/>
            <w:vAlign w:val="center"/>
          </w:tcPr>
          <w:p w14:paraId="586C9ACD" w14:textId="5D8D20A5" w:rsidR="001D3775" w:rsidRPr="001D3775" w:rsidRDefault="001D3775" w:rsidP="001D3775">
            <w:pPr>
              <w:jc w:val="center"/>
              <w:rPr>
                <w:rFonts w:cs="Times New Roman"/>
                <w:sz w:val="18"/>
                <w:szCs w:val="18"/>
              </w:rPr>
            </w:pPr>
            <w:r w:rsidRPr="001D3775">
              <w:rPr>
                <w:rFonts w:cs="Times New Roman"/>
                <w:sz w:val="18"/>
                <w:szCs w:val="18"/>
              </w:rPr>
              <w:t>Democratic processes</w:t>
            </w:r>
          </w:p>
        </w:tc>
        <w:tc>
          <w:tcPr>
            <w:tcW w:w="3115" w:type="dxa"/>
            <w:vAlign w:val="center"/>
          </w:tcPr>
          <w:p w14:paraId="597B8A01" w14:textId="0A2A53EE" w:rsidR="001D3775" w:rsidRPr="001D3775" w:rsidRDefault="001D3775" w:rsidP="001D3775">
            <w:pPr>
              <w:jc w:val="center"/>
              <w:rPr>
                <w:rFonts w:cs="Times New Roman"/>
                <w:sz w:val="18"/>
                <w:szCs w:val="18"/>
              </w:rPr>
            </w:pPr>
            <w:r w:rsidRPr="001D3775">
              <w:rPr>
                <w:rFonts w:cs="Times New Roman"/>
                <w:sz w:val="18"/>
                <w:szCs w:val="18"/>
              </w:rPr>
              <w:t>Enhances sustainability</w:t>
            </w:r>
          </w:p>
        </w:tc>
      </w:tr>
    </w:tbl>
    <w:p w14:paraId="0E9FD596" w14:textId="77777777" w:rsidR="001D3775" w:rsidRDefault="001D3775" w:rsidP="001D3775">
      <w:pPr>
        <w:jc w:val="both"/>
        <w:rPr>
          <w:rFonts w:cs="Times New Roman"/>
        </w:rPr>
      </w:pPr>
    </w:p>
    <w:p w14:paraId="339C8B4A" w14:textId="77777777" w:rsidR="00424DD1" w:rsidRPr="00424DD1" w:rsidRDefault="00424DD1" w:rsidP="00424DD1">
      <w:pPr>
        <w:spacing w:after="120"/>
        <w:rPr>
          <w:rFonts w:cs="Nazanin"/>
          <w:b/>
          <w:bCs/>
          <w:sz w:val="22"/>
          <w:szCs w:val="22"/>
          <w:lang w:bidi="fa-IR"/>
        </w:rPr>
      </w:pPr>
      <w:r w:rsidRPr="00424DD1">
        <w:rPr>
          <w:rFonts w:cs="Nazanin"/>
          <w:b/>
          <w:bCs/>
          <w:sz w:val="22"/>
          <w:szCs w:val="22"/>
          <w:lang w:bidi="fa-IR"/>
        </w:rPr>
        <w:t>3. Advances in Mental Health Literacy and Resilience Interventions</w:t>
      </w:r>
    </w:p>
    <w:p w14:paraId="79303B3D" w14:textId="77777777" w:rsidR="00424DD1" w:rsidRPr="00424DD1" w:rsidRDefault="00424DD1" w:rsidP="00424DD1">
      <w:pPr>
        <w:jc w:val="both"/>
        <w:rPr>
          <w:rFonts w:cs="Times New Roman"/>
        </w:rPr>
      </w:pPr>
      <w:r w:rsidRPr="00424DD1">
        <w:rPr>
          <w:rFonts w:cs="Times New Roman"/>
        </w:rPr>
        <w:t>Recent research from 2024–2025 has significantly advanced school-based mental health interventions, with a strong emphasis on mental health literacy (MHL) and resilience-building programs in response to post-pandemic youth mental health challenges [22]. Meta-analyses and systematic reviews confirm that universal school-based interventions produce small to moderate positive effects on resilience, stigma reduction, help-seeking behaviors, and symptom alleviation for anxiety and depression [23]. Key advances include the integration of social-emotional learning (SEL) and mindfulness components into curricula, with teacher-delivered programs showing notable improvements in students' knowledge, attitudes, and emotional regulation [24]. A 2025 meta-analysis of school-based mental health interventions highlights effectiveness across diverse outcomes, including enhanced competence and reduced internalizing symptoms, particularly when programs are multicomponent and theory-driven [25]. Resilience-focused interventions demonstrate efficacy in promoting coping skills, with stronger effects in longer-duration programs and those incorporating peer support [26]. Digital and hybrid delivery models represent innovative progress, enabling scalable MHL education through eHealth tools that boost accessibility in underserved areas [27]. Studies evaluating classroom-based curricula report positive impacts on secondary students' literacy and attitudes, with sustained benefits when reinforced by school-wide policies [28]. Stigma-reduction efforts yield short-term gains, emphasizing the need for booster sessions and youth involvement in design [29]. Equity considerations drive tailored adaptations for vulnerable populations, including culturally sensitive programs that address disparities in mental health outcomes [30]. Implementation research stresses facilitators like ongoing teacher training in trauma-informed practices and barriers such as resource constraints [31]. Emerging evidence links mental health promotion within Health Promoting Schools frameworks to broader well-being, including academic success [32]. Overall, 2024–2025 studies underscore the transformative potential of proactive, universal interventions, calling for policy support to embed MHL in standard curricula [33].</w:t>
      </w:r>
    </w:p>
    <w:p w14:paraId="37A845B4" w14:textId="59FB247A" w:rsidR="009869C7" w:rsidRPr="00424DD1" w:rsidRDefault="00424DD1" w:rsidP="00424DD1">
      <w:pPr>
        <w:spacing w:before="100" w:beforeAutospacing="1" w:after="100" w:afterAutospacing="1"/>
        <w:jc w:val="center"/>
        <w:rPr>
          <w:rFonts w:cs="Times New Roman"/>
          <w:b/>
          <w:bCs/>
          <w:sz w:val="18"/>
          <w:szCs w:val="18"/>
        </w:rPr>
      </w:pPr>
      <w:r w:rsidRPr="00424DD1">
        <w:rPr>
          <w:rFonts w:cs="Times New Roman"/>
          <w:b/>
          <w:bCs/>
          <w:sz w:val="18"/>
          <w:szCs w:val="18"/>
        </w:rPr>
        <w:t>Table 2: Key Recent Studies on School-Based Mental Health Literacy and Resilience Interventions (2024–2025)</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424DD1" w14:paraId="525F7EEF" w14:textId="77777777" w:rsidTr="00424DD1">
        <w:tc>
          <w:tcPr>
            <w:tcW w:w="2336" w:type="dxa"/>
            <w:tcBorders>
              <w:bottom w:val="single" w:sz="4" w:space="0" w:color="auto"/>
            </w:tcBorders>
            <w:vAlign w:val="center"/>
          </w:tcPr>
          <w:p w14:paraId="11B3290F" w14:textId="69C531E0" w:rsidR="00424DD1" w:rsidRPr="00424DD1" w:rsidRDefault="00424DD1" w:rsidP="00424DD1">
            <w:pPr>
              <w:jc w:val="center"/>
              <w:rPr>
                <w:rFonts w:cs="Times New Roman"/>
                <w:sz w:val="18"/>
                <w:szCs w:val="18"/>
              </w:rPr>
            </w:pPr>
            <w:r w:rsidRPr="00424DD1">
              <w:rPr>
                <w:rFonts w:cs="Times New Roman"/>
                <w:sz w:val="18"/>
                <w:szCs w:val="18"/>
              </w:rPr>
              <w:t>Author (Year)</w:t>
            </w:r>
          </w:p>
        </w:tc>
        <w:tc>
          <w:tcPr>
            <w:tcW w:w="2336" w:type="dxa"/>
            <w:tcBorders>
              <w:bottom w:val="single" w:sz="4" w:space="0" w:color="auto"/>
            </w:tcBorders>
            <w:vAlign w:val="center"/>
          </w:tcPr>
          <w:p w14:paraId="213AEB09" w14:textId="61827039" w:rsidR="00424DD1" w:rsidRPr="00424DD1" w:rsidRDefault="00424DD1" w:rsidP="00424DD1">
            <w:pPr>
              <w:jc w:val="center"/>
              <w:rPr>
                <w:rFonts w:cs="Times New Roman"/>
                <w:sz w:val="18"/>
                <w:szCs w:val="18"/>
              </w:rPr>
            </w:pPr>
            <w:r w:rsidRPr="00424DD1">
              <w:rPr>
                <w:rFonts w:cs="Times New Roman"/>
                <w:sz w:val="18"/>
                <w:szCs w:val="18"/>
              </w:rPr>
              <w:t>Intervention Focus</w:t>
            </w:r>
          </w:p>
        </w:tc>
        <w:tc>
          <w:tcPr>
            <w:tcW w:w="2336" w:type="dxa"/>
            <w:tcBorders>
              <w:bottom w:val="single" w:sz="4" w:space="0" w:color="auto"/>
            </w:tcBorders>
            <w:vAlign w:val="center"/>
          </w:tcPr>
          <w:p w14:paraId="6C576FCA" w14:textId="641835BD" w:rsidR="00424DD1" w:rsidRPr="00424DD1" w:rsidRDefault="00424DD1" w:rsidP="00424DD1">
            <w:pPr>
              <w:jc w:val="center"/>
              <w:rPr>
                <w:rFonts w:cs="Times New Roman"/>
                <w:sz w:val="18"/>
                <w:szCs w:val="18"/>
              </w:rPr>
            </w:pPr>
            <w:r w:rsidRPr="00424DD1">
              <w:rPr>
                <w:rFonts w:cs="Times New Roman"/>
                <w:sz w:val="18"/>
                <w:szCs w:val="18"/>
              </w:rPr>
              <w:t>Key Outcomes</w:t>
            </w:r>
          </w:p>
        </w:tc>
        <w:tc>
          <w:tcPr>
            <w:tcW w:w="2337" w:type="dxa"/>
            <w:tcBorders>
              <w:bottom w:val="single" w:sz="4" w:space="0" w:color="auto"/>
            </w:tcBorders>
            <w:vAlign w:val="center"/>
          </w:tcPr>
          <w:p w14:paraId="71688913" w14:textId="0FD2773E" w:rsidR="00424DD1" w:rsidRPr="00424DD1" w:rsidRDefault="00424DD1" w:rsidP="00424DD1">
            <w:pPr>
              <w:jc w:val="center"/>
              <w:rPr>
                <w:rFonts w:cs="Times New Roman"/>
                <w:sz w:val="18"/>
                <w:szCs w:val="18"/>
              </w:rPr>
            </w:pPr>
            <w:r w:rsidRPr="00424DD1">
              <w:rPr>
                <w:rFonts w:cs="Times New Roman"/>
                <w:sz w:val="18"/>
                <w:szCs w:val="18"/>
              </w:rPr>
              <w:t>Effect Size/Findings</w:t>
            </w:r>
          </w:p>
        </w:tc>
      </w:tr>
      <w:tr w:rsidR="00424DD1" w14:paraId="09CB464B" w14:textId="77777777" w:rsidTr="00424DD1">
        <w:tc>
          <w:tcPr>
            <w:tcW w:w="2336" w:type="dxa"/>
            <w:tcBorders>
              <w:top w:val="single" w:sz="4" w:space="0" w:color="auto"/>
            </w:tcBorders>
            <w:vAlign w:val="center"/>
          </w:tcPr>
          <w:p w14:paraId="3495795B" w14:textId="6866A9F4" w:rsidR="00424DD1" w:rsidRPr="00424DD1" w:rsidRDefault="00424DD1" w:rsidP="00424DD1">
            <w:pPr>
              <w:jc w:val="center"/>
              <w:rPr>
                <w:rFonts w:cs="Times New Roman"/>
                <w:sz w:val="18"/>
                <w:szCs w:val="18"/>
              </w:rPr>
            </w:pPr>
            <w:r w:rsidRPr="00424DD1">
              <w:rPr>
                <w:rFonts w:cs="Times New Roman"/>
                <w:sz w:val="18"/>
                <w:szCs w:val="18"/>
              </w:rPr>
              <w:t>Resilience SBIs Meta (2025) [23]</w:t>
            </w:r>
          </w:p>
        </w:tc>
        <w:tc>
          <w:tcPr>
            <w:tcW w:w="2336" w:type="dxa"/>
            <w:tcBorders>
              <w:top w:val="single" w:sz="4" w:space="0" w:color="auto"/>
            </w:tcBorders>
            <w:vAlign w:val="center"/>
          </w:tcPr>
          <w:p w14:paraId="655D6C6D" w14:textId="4592DA1F" w:rsidR="00424DD1" w:rsidRPr="00424DD1" w:rsidRDefault="00424DD1" w:rsidP="00424DD1">
            <w:pPr>
              <w:jc w:val="center"/>
              <w:rPr>
                <w:rFonts w:cs="Times New Roman"/>
                <w:sz w:val="18"/>
                <w:szCs w:val="18"/>
              </w:rPr>
            </w:pPr>
            <w:r w:rsidRPr="00424DD1">
              <w:rPr>
                <w:rFonts w:cs="Times New Roman"/>
                <w:sz w:val="18"/>
                <w:szCs w:val="18"/>
              </w:rPr>
              <w:t>Resilience promotion</w:t>
            </w:r>
          </w:p>
        </w:tc>
        <w:tc>
          <w:tcPr>
            <w:tcW w:w="2336" w:type="dxa"/>
            <w:tcBorders>
              <w:top w:val="single" w:sz="4" w:space="0" w:color="auto"/>
            </w:tcBorders>
            <w:vAlign w:val="center"/>
          </w:tcPr>
          <w:p w14:paraId="4C157FAB" w14:textId="2DC6A0FE" w:rsidR="00424DD1" w:rsidRPr="00424DD1" w:rsidRDefault="00424DD1" w:rsidP="00424DD1">
            <w:pPr>
              <w:jc w:val="center"/>
              <w:rPr>
                <w:rFonts w:cs="Times New Roman"/>
                <w:sz w:val="18"/>
                <w:szCs w:val="18"/>
              </w:rPr>
            </w:pPr>
            <w:r w:rsidRPr="00424DD1">
              <w:rPr>
                <w:rFonts w:cs="Times New Roman"/>
                <w:sz w:val="18"/>
                <w:szCs w:val="18"/>
              </w:rPr>
              <w:t>Enhanced coping, reduced problems</w:t>
            </w:r>
          </w:p>
        </w:tc>
        <w:tc>
          <w:tcPr>
            <w:tcW w:w="2337" w:type="dxa"/>
            <w:tcBorders>
              <w:top w:val="single" w:sz="4" w:space="0" w:color="auto"/>
            </w:tcBorders>
            <w:vAlign w:val="center"/>
          </w:tcPr>
          <w:p w14:paraId="6FCF9670" w14:textId="381AFFEC" w:rsidR="00424DD1" w:rsidRPr="00424DD1" w:rsidRDefault="00424DD1" w:rsidP="00424DD1">
            <w:pPr>
              <w:jc w:val="center"/>
              <w:rPr>
                <w:rFonts w:cs="Times New Roman"/>
                <w:sz w:val="18"/>
                <w:szCs w:val="18"/>
              </w:rPr>
            </w:pPr>
            <w:r w:rsidRPr="00424DD1">
              <w:rPr>
                <w:rFonts w:cs="Times New Roman"/>
                <w:sz w:val="18"/>
                <w:szCs w:val="18"/>
              </w:rPr>
              <w:t>Small-moderate</w:t>
            </w:r>
          </w:p>
        </w:tc>
      </w:tr>
      <w:tr w:rsidR="00424DD1" w14:paraId="0D05A613" w14:textId="77777777" w:rsidTr="00424DD1">
        <w:tc>
          <w:tcPr>
            <w:tcW w:w="2336" w:type="dxa"/>
            <w:vAlign w:val="center"/>
          </w:tcPr>
          <w:p w14:paraId="56546B9C" w14:textId="7ED8DDCB" w:rsidR="00424DD1" w:rsidRPr="00424DD1" w:rsidRDefault="00424DD1" w:rsidP="00424DD1">
            <w:pPr>
              <w:jc w:val="center"/>
              <w:rPr>
                <w:rFonts w:cs="Times New Roman"/>
                <w:sz w:val="18"/>
                <w:szCs w:val="18"/>
              </w:rPr>
            </w:pPr>
            <w:r w:rsidRPr="00424DD1">
              <w:rPr>
                <w:rFonts w:cs="Times New Roman"/>
                <w:sz w:val="18"/>
                <w:szCs w:val="18"/>
              </w:rPr>
              <w:t>Mental Health Curriculum Evaluation (2025) [24]</w:t>
            </w:r>
          </w:p>
        </w:tc>
        <w:tc>
          <w:tcPr>
            <w:tcW w:w="2336" w:type="dxa"/>
            <w:vAlign w:val="center"/>
          </w:tcPr>
          <w:p w14:paraId="7FB11AA2" w14:textId="60C1A583" w:rsidR="00424DD1" w:rsidRPr="00424DD1" w:rsidRDefault="00424DD1" w:rsidP="00424DD1">
            <w:pPr>
              <w:jc w:val="center"/>
              <w:rPr>
                <w:rFonts w:cs="Times New Roman"/>
                <w:sz w:val="18"/>
                <w:szCs w:val="18"/>
              </w:rPr>
            </w:pPr>
            <w:r w:rsidRPr="00424DD1">
              <w:rPr>
                <w:rFonts w:cs="Times New Roman"/>
                <w:sz w:val="18"/>
                <w:szCs w:val="18"/>
              </w:rPr>
              <w:t>Classroom MHL program</w:t>
            </w:r>
          </w:p>
        </w:tc>
        <w:tc>
          <w:tcPr>
            <w:tcW w:w="2336" w:type="dxa"/>
            <w:vAlign w:val="center"/>
          </w:tcPr>
          <w:p w14:paraId="4857A652" w14:textId="7FF77AA9" w:rsidR="00424DD1" w:rsidRPr="00424DD1" w:rsidRDefault="00424DD1" w:rsidP="00424DD1">
            <w:pPr>
              <w:jc w:val="center"/>
              <w:rPr>
                <w:rFonts w:cs="Times New Roman"/>
                <w:sz w:val="18"/>
                <w:szCs w:val="18"/>
              </w:rPr>
            </w:pPr>
            <w:r w:rsidRPr="00424DD1">
              <w:rPr>
                <w:rFonts w:cs="Times New Roman"/>
                <w:sz w:val="18"/>
                <w:szCs w:val="18"/>
              </w:rPr>
              <w:t>Improved literacy, attitudes</w:t>
            </w:r>
          </w:p>
        </w:tc>
        <w:tc>
          <w:tcPr>
            <w:tcW w:w="2337" w:type="dxa"/>
            <w:vAlign w:val="center"/>
          </w:tcPr>
          <w:p w14:paraId="6594802A" w14:textId="5429B10F" w:rsidR="00424DD1" w:rsidRPr="00424DD1" w:rsidRDefault="00424DD1" w:rsidP="00424DD1">
            <w:pPr>
              <w:jc w:val="center"/>
              <w:rPr>
                <w:rFonts w:cs="Times New Roman"/>
                <w:sz w:val="18"/>
                <w:szCs w:val="18"/>
              </w:rPr>
            </w:pPr>
            <w:r w:rsidRPr="00424DD1">
              <w:rPr>
                <w:rFonts w:cs="Times New Roman"/>
                <w:sz w:val="18"/>
                <w:szCs w:val="18"/>
              </w:rPr>
              <w:t>Positive impact</w:t>
            </w:r>
          </w:p>
        </w:tc>
      </w:tr>
      <w:tr w:rsidR="00424DD1" w14:paraId="50773D1F" w14:textId="77777777" w:rsidTr="00424DD1">
        <w:tc>
          <w:tcPr>
            <w:tcW w:w="2336" w:type="dxa"/>
            <w:vAlign w:val="center"/>
          </w:tcPr>
          <w:p w14:paraId="09A29C57" w14:textId="0970A389" w:rsidR="00424DD1" w:rsidRPr="00424DD1" w:rsidRDefault="00424DD1" w:rsidP="00424DD1">
            <w:pPr>
              <w:jc w:val="center"/>
              <w:rPr>
                <w:rFonts w:cs="Times New Roman"/>
                <w:sz w:val="18"/>
                <w:szCs w:val="18"/>
              </w:rPr>
            </w:pPr>
            <w:r w:rsidRPr="00424DD1">
              <w:rPr>
                <w:rFonts w:cs="Times New Roman"/>
                <w:sz w:val="18"/>
                <w:szCs w:val="18"/>
              </w:rPr>
              <w:t>School Mental Health Meta (2025) [25]</w:t>
            </w:r>
          </w:p>
        </w:tc>
        <w:tc>
          <w:tcPr>
            <w:tcW w:w="2336" w:type="dxa"/>
            <w:vAlign w:val="center"/>
          </w:tcPr>
          <w:p w14:paraId="3E545BD2" w14:textId="413E6702" w:rsidR="00424DD1" w:rsidRPr="00424DD1" w:rsidRDefault="00424DD1" w:rsidP="00424DD1">
            <w:pPr>
              <w:jc w:val="center"/>
              <w:rPr>
                <w:rFonts w:cs="Times New Roman"/>
                <w:sz w:val="18"/>
                <w:szCs w:val="18"/>
              </w:rPr>
            </w:pPr>
            <w:r w:rsidRPr="00424DD1">
              <w:rPr>
                <w:rFonts w:cs="Times New Roman"/>
                <w:sz w:val="18"/>
                <w:szCs w:val="18"/>
              </w:rPr>
              <w:t>Various interventions</w:t>
            </w:r>
          </w:p>
        </w:tc>
        <w:tc>
          <w:tcPr>
            <w:tcW w:w="2336" w:type="dxa"/>
            <w:vAlign w:val="center"/>
          </w:tcPr>
          <w:p w14:paraId="45535331" w14:textId="12027FF6" w:rsidR="00424DD1" w:rsidRPr="00424DD1" w:rsidRDefault="00424DD1" w:rsidP="00424DD1">
            <w:pPr>
              <w:jc w:val="center"/>
              <w:rPr>
                <w:rFonts w:cs="Times New Roman"/>
                <w:sz w:val="18"/>
                <w:szCs w:val="18"/>
              </w:rPr>
            </w:pPr>
            <w:r w:rsidRPr="00424DD1">
              <w:rPr>
                <w:rFonts w:cs="Times New Roman"/>
                <w:sz w:val="18"/>
                <w:szCs w:val="18"/>
              </w:rPr>
              <w:t>Symptom reduction, competence</w:t>
            </w:r>
          </w:p>
        </w:tc>
        <w:tc>
          <w:tcPr>
            <w:tcW w:w="2337" w:type="dxa"/>
            <w:vAlign w:val="center"/>
          </w:tcPr>
          <w:p w14:paraId="28AB58B7" w14:textId="04F3B7BE" w:rsidR="00424DD1" w:rsidRPr="00424DD1" w:rsidRDefault="00424DD1" w:rsidP="00424DD1">
            <w:pPr>
              <w:jc w:val="center"/>
              <w:rPr>
                <w:rFonts w:cs="Times New Roman"/>
                <w:sz w:val="18"/>
                <w:szCs w:val="18"/>
              </w:rPr>
            </w:pPr>
            <w:r w:rsidRPr="00424DD1">
              <w:rPr>
                <w:rFonts w:cs="Times New Roman"/>
                <w:sz w:val="18"/>
                <w:szCs w:val="18"/>
              </w:rPr>
              <w:t>Small-significant</w:t>
            </w:r>
          </w:p>
        </w:tc>
      </w:tr>
      <w:tr w:rsidR="00424DD1" w14:paraId="48D2EDDE" w14:textId="77777777" w:rsidTr="00424DD1">
        <w:tc>
          <w:tcPr>
            <w:tcW w:w="2336" w:type="dxa"/>
            <w:vAlign w:val="center"/>
          </w:tcPr>
          <w:p w14:paraId="34A1AB1C" w14:textId="5EFC2AC0" w:rsidR="00424DD1" w:rsidRPr="00424DD1" w:rsidRDefault="00424DD1" w:rsidP="00424DD1">
            <w:pPr>
              <w:jc w:val="center"/>
              <w:rPr>
                <w:rFonts w:cs="Times New Roman"/>
                <w:sz w:val="18"/>
                <w:szCs w:val="18"/>
              </w:rPr>
            </w:pPr>
            <w:r w:rsidRPr="00424DD1">
              <w:rPr>
                <w:rFonts w:cs="Times New Roman"/>
                <w:sz w:val="18"/>
                <w:szCs w:val="18"/>
              </w:rPr>
              <w:t>Stigma Reduction Interventions (2025) [29]</w:t>
            </w:r>
          </w:p>
        </w:tc>
        <w:tc>
          <w:tcPr>
            <w:tcW w:w="2336" w:type="dxa"/>
            <w:vAlign w:val="center"/>
          </w:tcPr>
          <w:p w14:paraId="392E205F" w14:textId="0B00DE12" w:rsidR="00424DD1" w:rsidRPr="00424DD1" w:rsidRDefault="00424DD1" w:rsidP="00424DD1">
            <w:pPr>
              <w:jc w:val="center"/>
              <w:rPr>
                <w:rFonts w:cs="Times New Roman"/>
                <w:sz w:val="18"/>
                <w:szCs w:val="18"/>
              </w:rPr>
            </w:pPr>
            <w:r w:rsidRPr="00424DD1">
              <w:rPr>
                <w:rFonts w:cs="Times New Roman"/>
                <w:sz w:val="18"/>
                <w:szCs w:val="18"/>
              </w:rPr>
              <w:t>Youth-focused stigma programs</w:t>
            </w:r>
          </w:p>
        </w:tc>
        <w:tc>
          <w:tcPr>
            <w:tcW w:w="2336" w:type="dxa"/>
            <w:vAlign w:val="center"/>
          </w:tcPr>
          <w:p w14:paraId="399CB620" w14:textId="3B54159B" w:rsidR="00424DD1" w:rsidRPr="00424DD1" w:rsidRDefault="00424DD1" w:rsidP="00424DD1">
            <w:pPr>
              <w:jc w:val="center"/>
              <w:rPr>
                <w:rFonts w:cs="Times New Roman"/>
                <w:sz w:val="18"/>
                <w:szCs w:val="18"/>
              </w:rPr>
            </w:pPr>
            <w:r w:rsidRPr="00424DD1">
              <w:rPr>
                <w:rFonts w:cs="Times New Roman"/>
                <w:sz w:val="18"/>
                <w:szCs w:val="18"/>
              </w:rPr>
              <w:t>Short-term benefits</w:t>
            </w:r>
          </w:p>
        </w:tc>
        <w:tc>
          <w:tcPr>
            <w:tcW w:w="2337" w:type="dxa"/>
            <w:vAlign w:val="center"/>
          </w:tcPr>
          <w:p w14:paraId="4C03CCC1" w14:textId="23CDB693" w:rsidR="00424DD1" w:rsidRPr="00424DD1" w:rsidRDefault="00424DD1" w:rsidP="00424DD1">
            <w:pPr>
              <w:jc w:val="center"/>
              <w:rPr>
                <w:rFonts w:cs="Times New Roman"/>
                <w:sz w:val="18"/>
                <w:szCs w:val="18"/>
              </w:rPr>
            </w:pPr>
            <w:r w:rsidRPr="00424DD1">
              <w:rPr>
                <w:rFonts w:cs="Times New Roman"/>
                <w:sz w:val="18"/>
                <w:szCs w:val="18"/>
              </w:rPr>
              <w:t>Beneficial short-term</w:t>
            </w:r>
          </w:p>
        </w:tc>
      </w:tr>
      <w:tr w:rsidR="00424DD1" w14:paraId="1190856B" w14:textId="77777777" w:rsidTr="00424DD1">
        <w:tc>
          <w:tcPr>
            <w:tcW w:w="2336" w:type="dxa"/>
            <w:vAlign w:val="center"/>
          </w:tcPr>
          <w:p w14:paraId="393F8868" w14:textId="705B0447" w:rsidR="00424DD1" w:rsidRPr="00424DD1" w:rsidRDefault="00424DD1" w:rsidP="00424DD1">
            <w:pPr>
              <w:jc w:val="center"/>
              <w:rPr>
                <w:rFonts w:cs="Times New Roman"/>
                <w:sz w:val="18"/>
                <w:szCs w:val="18"/>
              </w:rPr>
            </w:pPr>
            <w:r w:rsidRPr="00424DD1">
              <w:rPr>
                <w:rFonts w:cs="Times New Roman"/>
                <w:sz w:val="18"/>
                <w:szCs w:val="18"/>
              </w:rPr>
              <w:t>Universal Emotional Interventions (2025) [26]</w:t>
            </w:r>
          </w:p>
        </w:tc>
        <w:tc>
          <w:tcPr>
            <w:tcW w:w="2336" w:type="dxa"/>
            <w:vAlign w:val="center"/>
          </w:tcPr>
          <w:p w14:paraId="5560DBE4" w14:textId="6EC010A6" w:rsidR="00424DD1" w:rsidRPr="00424DD1" w:rsidRDefault="00424DD1" w:rsidP="00424DD1">
            <w:pPr>
              <w:jc w:val="center"/>
              <w:rPr>
                <w:rFonts w:cs="Times New Roman"/>
                <w:sz w:val="18"/>
                <w:szCs w:val="18"/>
              </w:rPr>
            </w:pPr>
            <w:r w:rsidRPr="00424DD1">
              <w:rPr>
                <w:rFonts w:cs="Times New Roman"/>
                <w:sz w:val="18"/>
                <w:szCs w:val="18"/>
              </w:rPr>
              <w:t>SEL/resilience</w:t>
            </w:r>
          </w:p>
        </w:tc>
        <w:tc>
          <w:tcPr>
            <w:tcW w:w="2336" w:type="dxa"/>
            <w:vAlign w:val="center"/>
          </w:tcPr>
          <w:p w14:paraId="7FE0990F" w14:textId="594BB00E" w:rsidR="00424DD1" w:rsidRPr="00424DD1" w:rsidRDefault="00424DD1" w:rsidP="00424DD1">
            <w:pPr>
              <w:jc w:val="center"/>
              <w:rPr>
                <w:rFonts w:cs="Times New Roman"/>
                <w:sz w:val="18"/>
                <w:szCs w:val="18"/>
              </w:rPr>
            </w:pPr>
            <w:r w:rsidRPr="00424DD1">
              <w:rPr>
                <w:rFonts w:cs="Times New Roman"/>
                <w:sz w:val="18"/>
                <w:szCs w:val="18"/>
              </w:rPr>
              <w:t>Improved regulation</w:t>
            </w:r>
          </w:p>
        </w:tc>
        <w:tc>
          <w:tcPr>
            <w:tcW w:w="2337" w:type="dxa"/>
            <w:vAlign w:val="center"/>
          </w:tcPr>
          <w:p w14:paraId="665CCF7B" w14:textId="47ADFDC0" w:rsidR="00424DD1" w:rsidRPr="00424DD1" w:rsidRDefault="00424DD1" w:rsidP="00424DD1">
            <w:pPr>
              <w:jc w:val="center"/>
              <w:rPr>
                <w:rFonts w:cs="Times New Roman"/>
                <w:sz w:val="18"/>
                <w:szCs w:val="18"/>
              </w:rPr>
            </w:pPr>
            <w:r w:rsidRPr="00424DD1">
              <w:rPr>
                <w:rFonts w:cs="Times New Roman"/>
                <w:sz w:val="18"/>
                <w:szCs w:val="18"/>
              </w:rPr>
              <w:t>Significant</w:t>
            </w:r>
          </w:p>
        </w:tc>
      </w:tr>
    </w:tbl>
    <w:p w14:paraId="72D439BF" w14:textId="3999582C" w:rsidR="00424DD1" w:rsidRPr="00424DD1" w:rsidRDefault="00424DD1" w:rsidP="00424DD1">
      <w:pPr>
        <w:spacing w:after="120"/>
        <w:rPr>
          <w:rFonts w:cs="Nazanin"/>
          <w:b/>
          <w:bCs/>
          <w:sz w:val="22"/>
          <w:szCs w:val="22"/>
          <w:lang w:bidi="fa-IR"/>
        </w:rPr>
      </w:pPr>
      <w:r w:rsidRPr="00424DD1">
        <w:rPr>
          <w:rFonts w:cs="Nazanin"/>
          <w:b/>
          <w:bCs/>
          <w:sz w:val="22"/>
          <w:szCs w:val="22"/>
          <w:lang w:bidi="fa-IR"/>
        </w:rPr>
        <w:t>4</w:t>
      </w:r>
      <w:r w:rsidRPr="00424DD1">
        <w:rPr>
          <w:rFonts w:cs="Nazanin"/>
          <w:b/>
          <w:bCs/>
          <w:sz w:val="22"/>
          <w:szCs w:val="22"/>
          <w:lang w:bidi="fa-IR"/>
        </w:rPr>
        <w:t>. Advances in Physical Activity, Nutrition, and Digital Health Interventions</w:t>
      </w:r>
    </w:p>
    <w:p w14:paraId="0C07471C" w14:textId="77777777" w:rsidR="00424DD1" w:rsidRDefault="00424DD1" w:rsidP="00424DD1">
      <w:pPr>
        <w:spacing w:before="100" w:beforeAutospacing="1" w:after="100" w:afterAutospacing="1"/>
        <w:jc w:val="both"/>
        <w:rPr>
          <w:rFonts w:cs="Times New Roman"/>
        </w:rPr>
      </w:pPr>
      <w:r w:rsidRPr="00424DD1">
        <w:rPr>
          <w:rFonts w:cs="Times New Roman"/>
        </w:rPr>
        <w:t xml:space="preserve">Research from 2024–2025 highlights significant progress in school-based interventions promoting physical activity (PA), healthy nutrition, and digital well-being, including screen time regulation and vaping prevention [34]. Systematic reviews emphasize technology-infused PA programs, which leverage apps, wearables, and gamification to boost engagement and activity levels, showing promising increases in moderate-to-vigorous PA among students [35]. Nutrition education advances incorporate environmental sustainability, with interventions combining classroom lessons and school meal improvements yielding better dietary patterns and awareness of eco-friendly eating [36]. Multicomponent programs involving parental support demonstrate enhanced effects on adolescents' healthy behaviors and weight outcomes [37]. Long-term school-based PA promotion positively impacts </w:t>
      </w:r>
      <w:r>
        <w:rPr>
          <w:rFonts w:cs="Times New Roman"/>
        </w:rPr>
        <w:t xml:space="preserve"> </w:t>
      </w:r>
      <w:r w:rsidRPr="00424DD1">
        <w:rPr>
          <w:rFonts w:cs="Times New Roman"/>
        </w:rPr>
        <w:t xml:space="preserve">mental health, reducing anxiety </w:t>
      </w:r>
    </w:p>
    <w:p w14:paraId="3CB07EBE" w14:textId="77777777" w:rsidR="00424DD1" w:rsidRDefault="00424DD1" w:rsidP="00424DD1">
      <w:pPr>
        <w:spacing w:before="100" w:beforeAutospacing="1" w:after="100" w:afterAutospacing="1"/>
        <w:jc w:val="both"/>
        <w:rPr>
          <w:rFonts w:cs="Times New Roman"/>
        </w:rPr>
      </w:pPr>
    </w:p>
    <w:p w14:paraId="52B853FD" w14:textId="0E3FB286" w:rsidR="00424DD1" w:rsidRPr="00424DD1" w:rsidRDefault="00424DD1" w:rsidP="00424DD1">
      <w:pPr>
        <w:spacing w:before="100" w:beforeAutospacing="1" w:after="100" w:afterAutospacing="1"/>
        <w:jc w:val="both"/>
        <w:rPr>
          <w:rFonts w:cs="Times New Roman"/>
        </w:rPr>
      </w:pPr>
      <w:r w:rsidRPr="00424DD1">
        <w:rPr>
          <w:rFonts w:cs="Times New Roman"/>
        </w:rPr>
        <w:t>and improving emotional well-being alongside fitness gains [38]. Digital health interventions mark a key innovation, particularly for vaping prevention. The Our-Futures Vaping program, a co-designed eHealth module, significantly reduces e-cigarette initiation through interactive harm minimization and skills training [39]. Virtual reality and media literacy-based tools emerge as effective for cessation and prevention, targeting youth perceptions and refusal skills [40]. Screen time reduction efforts integrate digital literacy into curricula, with hybrid interventions showing modest decreases in non-educational use and improved sleep/mental health links [41]. Equity-focused designs tailor programs for diverse populations, addressing disparities in access to PA facilities and healthy foods [42]. Implementation challenges include fidelity in digital delivery, addressed through teacher training and policy integration within HPS frameworks [43]. Overall, these advances underscore blended approaches—combining education, technology, and environmental supports—for sustainable behavior change [44].</w:t>
      </w:r>
    </w:p>
    <w:p w14:paraId="047AF7A4" w14:textId="5D9995CC" w:rsidR="00424DD1" w:rsidRPr="00424DD1" w:rsidRDefault="00424DD1" w:rsidP="00424DD1">
      <w:pPr>
        <w:spacing w:before="100" w:beforeAutospacing="1" w:after="100" w:afterAutospacing="1"/>
        <w:jc w:val="center"/>
        <w:rPr>
          <w:rFonts w:cs="Times New Roman"/>
          <w:b/>
          <w:bCs/>
          <w:sz w:val="18"/>
          <w:szCs w:val="18"/>
        </w:rPr>
      </w:pPr>
      <w:r w:rsidRPr="00424DD1">
        <w:rPr>
          <w:rFonts w:cs="Times New Roman"/>
          <w:b/>
          <w:bCs/>
          <w:sz w:val="18"/>
          <w:szCs w:val="18"/>
        </w:rPr>
        <w:t>Table 3</w:t>
      </w:r>
      <w:r>
        <w:rPr>
          <w:rFonts w:cs="Times New Roman"/>
          <w:b/>
          <w:bCs/>
          <w:sz w:val="18"/>
          <w:szCs w:val="18"/>
        </w:rPr>
        <w:t>.</w:t>
      </w:r>
      <w:r w:rsidRPr="00424DD1">
        <w:rPr>
          <w:rFonts w:cs="Times New Roman"/>
          <w:b/>
          <w:bCs/>
          <w:sz w:val="18"/>
          <w:szCs w:val="18"/>
        </w:rPr>
        <w:t xml:space="preserve"> Key Recent Studies on Physical Activity, Nutrition, and Digital Health Interventions (2024–2025)</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2336"/>
        <w:gridCol w:w="2336"/>
        <w:gridCol w:w="2336"/>
        <w:gridCol w:w="2337"/>
      </w:tblGrid>
      <w:tr w:rsidR="00424DD1" w14:paraId="0E57142C" w14:textId="77777777" w:rsidTr="00424DD1">
        <w:tc>
          <w:tcPr>
            <w:tcW w:w="2336" w:type="dxa"/>
            <w:vAlign w:val="center"/>
          </w:tcPr>
          <w:p w14:paraId="1716D444" w14:textId="45ABCEC3" w:rsidR="00424DD1" w:rsidRPr="00424DD1" w:rsidRDefault="00424DD1" w:rsidP="00424DD1">
            <w:pPr>
              <w:jc w:val="center"/>
              <w:rPr>
                <w:rFonts w:cs="Times New Roman"/>
                <w:sz w:val="18"/>
                <w:szCs w:val="18"/>
              </w:rPr>
            </w:pPr>
            <w:r w:rsidRPr="00424DD1">
              <w:rPr>
                <w:rFonts w:cs="Times New Roman"/>
                <w:sz w:val="18"/>
                <w:szCs w:val="18"/>
              </w:rPr>
              <w:t>Author (Year)</w:t>
            </w:r>
          </w:p>
        </w:tc>
        <w:tc>
          <w:tcPr>
            <w:tcW w:w="2336" w:type="dxa"/>
            <w:vAlign w:val="center"/>
          </w:tcPr>
          <w:p w14:paraId="61D9FFB4" w14:textId="43CD9480" w:rsidR="00424DD1" w:rsidRPr="00424DD1" w:rsidRDefault="00424DD1" w:rsidP="00424DD1">
            <w:pPr>
              <w:jc w:val="center"/>
              <w:rPr>
                <w:rFonts w:cs="Times New Roman"/>
                <w:sz w:val="18"/>
                <w:szCs w:val="18"/>
              </w:rPr>
            </w:pPr>
            <w:r w:rsidRPr="00424DD1">
              <w:rPr>
                <w:rFonts w:cs="Times New Roman"/>
                <w:sz w:val="18"/>
                <w:szCs w:val="18"/>
              </w:rPr>
              <w:t>Focus Area</w:t>
            </w:r>
          </w:p>
        </w:tc>
        <w:tc>
          <w:tcPr>
            <w:tcW w:w="2336" w:type="dxa"/>
            <w:vAlign w:val="center"/>
          </w:tcPr>
          <w:p w14:paraId="033395C7" w14:textId="40C6B8EF" w:rsidR="00424DD1" w:rsidRPr="00424DD1" w:rsidRDefault="00424DD1" w:rsidP="00424DD1">
            <w:pPr>
              <w:jc w:val="center"/>
              <w:rPr>
                <w:rFonts w:cs="Times New Roman"/>
                <w:sz w:val="18"/>
                <w:szCs w:val="18"/>
              </w:rPr>
            </w:pPr>
            <w:r w:rsidRPr="00424DD1">
              <w:rPr>
                <w:rFonts w:cs="Times New Roman"/>
                <w:sz w:val="18"/>
                <w:szCs w:val="18"/>
              </w:rPr>
              <w:t>Key Outcomes</w:t>
            </w:r>
          </w:p>
        </w:tc>
        <w:tc>
          <w:tcPr>
            <w:tcW w:w="2337" w:type="dxa"/>
            <w:vAlign w:val="center"/>
          </w:tcPr>
          <w:p w14:paraId="6D05B0A8" w14:textId="22B178C6" w:rsidR="00424DD1" w:rsidRPr="00424DD1" w:rsidRDefault="00424DD1" w:rsidP="00424DD1">
            <w:pPr>
              <w:jc w:val="center"/>
              <w:rPr>
                <w:rFonts w:cs="Times New Roman"/>
                <w:sz w:val="18"/>
                <w:szCs w:val="18"/>
              </w:rPr>
            </w:pPr>
            <w:r w:rsidRPr="00424DD1">
              <w:rPr>
                <w:rFonts w:cs="Times New Roman"/>
                <w:sz w:val="18"/>
                <w:szCs w:val="18"/>
              </w:rPr>
              <w:t>Effect Size/Findings</w:t>
            </w:r>
          </w:p>
        </w:tc>
      </w:tr>
      <w:tr w:rsidR="00424DD1" w14:paraId="796F9385" w14:textId="77777777" w:rsidTr="00424DD1">
        <w:tc>
          <w:tcPr>
            <w:tcW w:w="2336" w:type="dxa"/>
            <w:vAlign w:val="center"/>
          </w:tcPr>
          <w:p w14:paraId="3DAD9F32" w14:textId="46CD620D" w:rsidR="00424DD1" w:rsidRPr="00424DD1" w:rsidRDefault="00424DD1" w:rsidP="00424DD1">
            <w:pPr>
              <w:jc w:val="center"/>
              <w:rPr>
                <w:rFonts w:cs="Times New Roman"/>
                <w:sz w:val="18"/>
                <w:szCs w:val="18"/>
              </w:rPr>
            </w:pPr>
            <w:r w:rsidRPr="00424DD1">
              <w:rPr>
                <w:rFonts w:cs="Times New Roman"/>
                <w:sz w:val="18"/>
                <w:szCs w:val="18"/>
              </w:rPr>
              <w:t>Technology-Infused PA Review (2025) [35]</w:t>
            </w:r>
          </w:p>
        </w:tc>
        <w:tc>
          <w:tcPr>
            <w:tcW w:w="2336" w:type="dxa"/>
            <w:vAlign w:val="center"/>
          </w:tcPr>
          <w:p w14:paraId="48C11861" w14:textId="503769C8" w:rsidR="00424DD1" w:rsidRPr="00424DD1" w:rsidRDefault="00424DD1" w:rsidP="00424DD1">
            <w:pPr>
              <w:jc w:val="center"/>
              <w:rPr>
                <w:rFonts w:cs="Times New Roman"/>
                <w:sz w:val="18"/>
                <w:szCs w:val="18"/>
              </w:rPr>
            </w:pPr>
            <w:r w:rsidRPr="00424DD1">
              <w:rPr>
                <w:rFonts w:cs="Times New Roman"/>
                <w:sz w:val="18"/>
                <w:szCs w:val="18"/>
              </w:rPr>
              <w:t>Digital PA interventions</w:t>
            </w:r>
          </w:p>
        </w:tc>
        <w:tc>
          <w:tcPr>
            <w:tcW w:w="2336" w:type="dxa"/>
            <w:vAlign w:val="center"/>
          </w:tcPr>
          <w:p w14:paraId="32D12B90" w14:textId="78E20E6C" w:rsidR="00424DD1" w:rsidRPr="00424DD1" w:rsidRDefault="00424DD1" w:rsidP="00424DD1">
            <w:pPr>
              <w:jc w:val="center"/>
              <w:rPr>
                <w:rFonts w:cs="Times New Roman"/>
                <w:sz w:val="18"/>
                <w:szCs w:val="18"/>
              </w:rPr>
            </w:pPr>
            <w:r w:rsidRPr="00424DD1">
              <w:rPr>
                <w:rFonts w:cs="Times New Roman"/>
                <w:sz w:val="18"/>
                <w:szCs w:val="18"/>
              </w:rPr>
              <w:t>Increased PA levels</w:t>
            </w:r>
          </w:p>
        </w:tc>
        <w:tc>
          <w:tcPr>
            <w:tcW w:w="2337" w:type="dxa"/>
            <w:vAlign w:val="center"/>
          </w:tcPr>
          <w:p w14:paraId="1D81037D" w14:textId="13502D3D" w:rsidR="00424DD1" w:rsidRPr="00424DD1" w:rsidRDefault="00424DD1" w:rsidP="00424DD1">
            <w:pPr>
              <w:jc w:val="center"/>
              <w:rPr>
                <w:rFonts w:cs="Times New Roman"/>
                <w:sz w:val="18"/>
                <w:szCs w:val="18"/>
              </w:rPr>
            </w:pPr>
            <w:r w:rsidRPr="00424DD1">
              <w:rPr>
                <w:rFonts w:cs="Times New Roman"/>
                <w:sz w:val="18"/>
                <w:szCs w:val="18"/>
              </w:rPr>
              <w:t>Significant potential</w:t>
            </w:r>
          </w:p>
        </w:tc>
      </w:tr>
      <w:tr w:rsidR="00424DD1" w14:paraId="4BEB2D21" w14:textId="77777777" w:rsidTr="00424DD1">
        <w:tc>
          <w:tcPr>
            <w:tcW w:w="2336" w:type="dxa"/>
            <w:vAlign w:val="center"/>
          </w:tcPr>
          <w:p w14:paraId="487B4F99" w14:textId="05E43523" w:rsidR="00424DD1" w:rsidRPr="00424DD1" w:rsidRDefault="00424DD1" w:rsidP="00424DD1">
            <w:pPr>
              <w:jc w:val="center"/>
              <w:rPr>
                <w:rFonts w:cs="Times New Roman"/>
                <w:sz w:val="18"/>
                <w:szCs w:val="18"/>
              </w:rPr>
            </w:pPr>
            <w:r w:rsidRPr="00424DD1">
              <w:rPr>
                <w:rFonts w:cs="Times New Roman"/>
                <w:sz w:val="18"/>
                <w:szCs w:val="18"/>
              </w:rPr>
              <w:t>Nutrition with Sustainability (2025) [36]</w:t>
            </w:r>
          </w:p>
        </w:tc>
        <w:tc>
          <w:tcPr>
            <w:tcW w:w="2336" w:type="dxa"/>
            <w:vAlign w:val="center"/>
          </w:tcPr>
          <w:p w14:paraId="3DA98B35" w14:textId="1ED72721" w:rsidR="00424DD1" w:rsidRPr="00424DD1" w:rsidRDefault="00424DD1" w:rsidP="00424DD1">
            <w:pPr>
              <w:jc w:val="center"/>
              <w:rPr>
                <w:rFonts w:cs="Times New Roman"/>
                <w:sz w:val="18"/>
                <w:szCs w:val="18"/>
              </w:rPr>
            </w:pPr>
            <w:r w:rsidRPr="00424DD1">
              <w:rPr>
                <w:rFonts w:cs="Times New Roman"/>
                <w:sz w:val="18"/>
                <w:szCs w:val="18"/>
              </w:rPr>
              <w:t>School nutrition education</w:t>
            </w:r>
          </w:p>
        </w:tc>
        <w:tc>
          <w:tcPr>
            <w:tcW w:w="2336" w:type="dxa"/>
            <w:vAlign w:val="center"/>
          </w:tcPr>
          <w:p w14:paraId="2C4E35F0" w14:textId="3F04E54B" w:rsidR="00424DD1" w:rsidRPr="00424DD1" w:rsidRDefault="00424DD1" w:rsidP="00424DD1">
            <w:pPr>
              <w:jc w:val="center"/>
              <w:rPr>
                <w:rFonts w:cs="Times New Roman"/>
                <w:sz w:val="18"/>
                <w:szCs w:val="18"/>
              </w:rPr>
            </w:pPr>
            <w:r w:rsidRPr="00424DD1">
              <w:rPr>
                <w:rFonts w:cs="Times New Roman"/>
                <w:sz w:val="18"/>
                <w:szCs w:val="18"/>
              </w:rPr>
              <w:t>Improved dietary patterns</w:t>
            </w:r>
          </w:p>
        </w:tc>
        <w:tc>
          <w:tcPr>
            <w:tcW w:w="2337" w:type="dxa"/>
            <w:vAlign w:val="center"/>
          </w:tcPr>
          <w:p w14:paraId="4F780F2E" w14:textId="39DD52F3" w:rsidR="00424DD1" w:rsidRPr="00424DD1" w:rsidRDefault="00424DD1" w:rsidP="00424DD1">
            <w:pPr>
              <w:jc w:val="center"/>
              <w:rPr>
                <w:rFonts w:cs="Times New Roman"/>
                <w:sz w:val="18"/>
                <w:szCs w:val="18"/>
              </w:rPr>
            </w:pPr>
            <w:r w:rsidRPr="00424DD1">
              <w:rPr>
                <w:rFonts w:cs="Times New Roman"/>
                <w:sz w:val="18"/>
                <w:szCs w:val="18"/>
              </w:rPr>
              <w:t>Effective</w:t>
            </w:r>
          </w:p>
        </w:tc>
      </w:tr>
      <w:tr w:rsidR="00424DD1" w14:paraId="29C0F510" w14:textId="77777777" w:rsidTr="00424DD1">
        <w:tc>
          <w:tcPr>
            <w:tcW w:w="2336" w:type="dxa"/>
            <w:vAlign w:val="center"/>
          </w:tcPr>
          <w:p w14:paraId="182F2787" w14:textId="7AC412E9" w:rsidR="00424DD1" w:rsidRPr="00424DD1" w:rsidRDefault="00424DD1" w:rsidP="00424DD1">
            <w:pPr>
              <w:jc w:val="center"/>
              <w:rPr>
                <w:rFonts w:cs="Times New Roman"/>
                <w:sz w:val="18"/>
                <w:szCs w:val="18"/>
              </w:rPr>
            </w:pPr>
            <w:r w:rsidRPr="00424DD1">
              <w:rPr>
                <w:rFonts w:cs="Times New Roman"/>
                <w:sz w:val="18"/>
                <w:szCs w:val="18"/>
              </w:rPr>
              <w:t>Parental-Involved Interventions (2025) [37]</w:t>
            </w:r>
          </w:p>
        </w:tc>
        <w:tc>
          <w:tcPr>
            <w:tcW w:w="2336" w:type="dxa"/>
            <w:vAlign w:val="center"/>
          </w:tcPr>
          <w:p w14:paraId="640C2608" w14:textId="4F165E4B" w:rsidR="00424DD1" w:rsidRPr="00424DD1" w:rsidRDefault="00424DD1" w:rsidP="00424DD1">
            <w:pPr>
              <w:jc w:val="center"/>
              <w:rPr>
                <w:rFonts w:cs="Times New Roman"/>
                <w:sz w:val="18"/>
                <w:szCs w:val="18"/>
              </w:rPr>
            </w:pPr>
            <w:r w:rsidRPr="00424DD1">
              <w:rPr>
                <w:rFonts w:cs="Times New Roman"/>
                <w:sz w:val="18"/>
                <w:szCs w:val="18"/>
              </w:rPr>
              <w:t>PA &amp; nutrition with parents</w:t>
            </w:r>
          </w:p>
        </w:tc>
        <w:tc>
          <w:tcPr>
            <w:tcW w:w="2336" w:type="dxa"/>
            <w:vAlign w:val="center"/>
          </w:tcPr>
          <w:p w14:paraId="411BDF64" w14:textId="282C4195" w:rsidR="00424DD1" w:rsidRPr="00424DD1" w:rsidRDefault="00424DD1" w:rsidP="00424DD1">
            <w:pPr>
              <w:jc w:val="center"/>
              <w:rPr>
                <w:rFonts w:cs="Times New Roman"/>
                <w:sz w:val="18"/>
                <w:szCs w:val="18"/>
              </w:rPr>
            </w:pPr>
            <w:r w:rsidRPr="00424DD1">
              <w:rPr>
                <w:rFonts w:cs="Times New Roman"/>
                <w:sz w:val="18"/>
                <w:szCs w:val="18"/>
              </w:rPr>
              <w:t>Better behaviors, weight outcomes</w:t>
            </w:r>
          </w:p>
        </w:tc>
        <w:tc>
          <w:tcPr>
            <w:tcW w:w="2337" w:type="dxa"/>
            <w:vAlign w:val="center"/>
          </w:tcPr>
          <w:p w14:paraId="6555DB0A" w14:textId="44DCBEE8" w:rsidR="00424DD1" w:rsidRPr="00424DD1" w:rsidRDefault="00424DD1" w:rsidP="00424DD1">
            <w:pPr>
              <w:jc w:val="center"/>
              <w:rPr>
                <w:rFonts w:cs="Times New Roman"/>
                <w:sz w:val="18"/>
                <w:szCs w:val="18"/>
              </w:rPr>
            </w:pPr>
            <w:r w:rsidRPr="00424DD1">
              <w:rPr>
                <w:rFonts w:cs="Times New Roman"/>
                <w:sz w:val="18"/>
                <w:szCs w:val="18"/>
              </w:rPr>
              <w:t>Enhanced effects</w:t>
            </w:r>
          </w:p>
        </w:tc>
      </w:tr>
      <w:tr w:rsidR="00424DD1" w14:paraId="03DFF71A" w14:textId="77777777" w:rsidTr="00424DD1">
        <w:tc>
          <w:tcPr>
            <w:tcW w:w="2336" w:type="dxa"/>
            <w:vAlign w:val="center"/>
          </w:tcPr>
          <w:p w14:paraId="2711E8AA" w14:textId="42176275" w:rsidR="00424DD1" w:rsidRPr="00424DD1" w:rsidRDefault="00424DD1" w:rsidP="00424DD1">
            <w:pPr>
              <w:jc w:val="center"/>
              <w:rPr>
                <w:rFonts w:cs="Times New Roman"/>
                <w:sz w:val="18"/>
                <w:szCs w:val="18"/>
              </w:rPr>
            </w:pPr>
            <w:r w:rsidRPr="00424DD1">
              <w:rPr>
                <w:rFonts w:cs="Times New Roman"/>
                <w:sz w:val="18"/>
                <w:szCs w:val="18"/>
              </w:rPr>
              <w:t>OurFutures Vaping Trial (2025) [39]</w:t>
            </w:r>
          </w:p>
        </w:tc>
        <w:tc>
          <w:tcPr>
            <w:tcW w:w="2336" w:type="dxa"/>
            <w:vAlign w:val="center"/>
          </w:tcPr>
          <w:p w14:paraId="75178198" w14:textId="1628FD52" w:rsidR="00424DD1" w:rsidRPr="00424DD1" w:rsidRDefault="00424DD1" w:rsidP="00424DD1">
            <w:pPr>
              <w:jc w:val="center"/>
              <w:rPr>
                <w:rFonts w:cs="Times New Roman"/>
                <w:sz w:val="18"/>
                <w:szCs w:val="18"/>
              </w:rPr>
            </w:pPr>
            <w:r w:rsidRPr="00424DD1">
              <w:rPr>
                <w:rFonts w:cs="Times New Roman"/>
                <w:sz w:val="18"/>
                <w:szCs w:val="18"/>
              </w:rPr>
              <w:t>eHealth vaping prevention</w:t>
            </w:r>
          </w:p>
        </w:tc>
        <w:tc>
          <w:tcPr>
            <w:tcW w:w="2336" w:type="dxa"/>
            <w:vAlign w:val="center"/>
          </w:tcPr>
          <w:p w14:paraId="21D39B22" w14:textId="3D8AEBF6" w:rsidR="00424DD1" w:rsidRPr="00424DD1" w:rsidRDefault="00424DD1" w:rsidP="00424DD1">
            <w:pPr>
              <w:jc w:val="center"/>
              <w:rPr>
                <w:rFonts w:cs="Times New Roman"/>
                <w:sz w:val="18"/>
                <w:szCs w:val="18"/>
              </w:rPr>
            </w:pPr>
            <w:r w:rsidRPr="00424DD1">
              <w:rPr>
                <w:rFonts w:cs="Times New Roman"/>
                <w:sz w:val="18"/>
                <w:szCs w:val="18"/>
              </w:rPr>
              <w:t>Reduced initiation</w:t>
            </w:r>
          </w:p>
        </w:tc>
        <w:tc>
          <w:tcPr>
            <w:tcW w:w="2337" w:type="dxa"/>
            <w:vAlign w:val="center"/>
          </w:tcPr>
          <w:p w14:paraId="4DF32504" w14:textId="158B068D" w:rsidR="00424DD1" w:rsidRPr="00424DD1" w:rsidRDefault="00424DD1" w:rsidP="00424DD1">
            <w:pPr>
              <w:jc w:val="center"/>
              <w:rPr>
                <w:rFonts w:cs="Times New Roman"/>
                <w:sz w:val="18"/>
                <w:szCs w:val="18"/>
              </w:rPr>
            </w:pPr>
            <w:r w:rsidRPr="00424DD1">
              <w:rPr>
                <w:rFonts w:cs="Times New Roman"/>
                <w:sz w:val="18"/>
                <w:szCs w:val="18"/>
              </w:rPr>
              <w:t>Efficacious</w:t>
            </w:r>
          </w:p>
        </w:tc>
      </w:tr>
      <w:tr w:rsidR="00424DD1" w14:paraId="162135A3" w14:textId="77777777" w:rsidTr="00424DD1">
        <w:tc>
          <w:tcPr>
            <w:tcW w:w="2336" w:type="dxa"/>
            <w:vAlign w:val="center"/>
          </w:tcPr>
          <w:p w14:paraId="64F7E79E" w14:textId="13137207" w:rsidR="00424DD1" w:rsidRPr="00424DD1" w:rsidRDefault="00424DD1" w:rsidP="00424DD1">
            <w:pPr>
              <w:jc w:val="center"/>
              <w:rPr>
                <w:rFonts w:cs="Times New Roman"/>
                <w:sz w:val="18"/>
                <w:szCs w:val="18"/>
              </w:rPr>
            </w:pPr>
            <w:r w:rsidRPr="00424DD1">
              <w:rPr>
                <w:rFonts w:cs="Times New Roman"/>
                <w:sz w:val="18"/>
                <w:szCs w:val="18"/>
              </w:rPr>
              <w:t>VR for Vaping Prevention (2025) [40]</w:t>
            </w:r>
          </w:p>
        </w:tc>
        <w:tc>
          <w:tcPr>
            <w:tcW w:w="2336" w:type="dxa"/>
            <w:vAlign w:val="center"/>
          </w:tcPr>
          <w:p w14:paraId="157D7F77" w14:textId="6C0A38C7" w:rsidR="00424DD1" w:rsidRPr="00424DD1" w:rsidRDefault="00424DD1" w:rsidP="00424DD1">
            <w:pPr>
              <w:jc w:val="center"/>
              <w:rPr>
                <w:rFonts w:cs="Times New Roman"/>
                <w:sz w:val="18"/>
                <w:szCs w:val="18"/>
              </w:rPr>
            </w:pPr>
            <w:r w:rsidRPr="00424DD1">
              <w:rPr>
                <w:rFonts w:cs="Times New Roman"/>
                <w:sz w:val="18"/>
                <w:szCs w:val="18"/>
              </w:rPr>
              <w:t>Virtual reality tools</w:t>
            </w:r>
          </w:p>
        </w:tc>
        <w:tc>
          <w:tcPr>
            <w:tcW w:w="2336" w:type="dxa"/>
            <w:vAlign w:val="center"/>
          </w:tcPr>
          <w:p w14:paraId="0A8FB8F9" w14:textId="5F311A02" w:rsidR="00424DD1" w:rsidRPr="00424DD1" w:rsidRDefault="00424DD1" w:rsidP="00424DD1">
            <w:pPr>
              <w:jc w:val="center"/>
              <w:rPr>
                <w:rFonts w:cs="Times New Roman"/>
                <w:sz w:val="18"/>
                <w:szCs w:val="18"/>
              </w:rPr>
            </w:pPr>
            <w:r w:rsidRPr="00424DD1">
              <w:rPr>
                <w:rFonts w:cs="Times New Roman"/>
                <w:sz w:val="18"/>
                <w:szCs w:val="18"/>
              </w:rPr>
              <w:t>Improved refusal skills</w:t>
            </w:r>
          </w:p>
        </w:tc>
        <w:tc>
          <w:tcPr>
            <w:tcW w:w="2337" w:type="dxa"/>
            <w:vAlign w:val="center"/>
          </w:tcPr>
          <w:p w14:paraId="46B7D989" w14:textId="79BFB855" w:rsidR="00424DD1" w:rsidRPr="00424DD1" w:rsidRDefault="00424DD1" w:rsidP="00424DD1">
            <w:pPr>
              <w:jc w:val="center"/>
              <w:rPr>
                <w:rFonts w:cs="Times New Roman"/>
                <w:sz w:val="18"/>
                <w:szCs w:val="18"/>
              </w:rPr>
            </w:pPr>
            <w:r w:rsidRPr="00424DD1">
              <w:rPr>
                <w:rFonts w:cs="Times New Roman"/>
                <w:sz w:val="18"/>
                <w:szCs w:val="18"/>
              </w:rPr>
              <w:t>Preliminary efficacy</w:t>
            </w:r>
          </w:p>
        </w:tc>
      </w:tr>
    </w:tbl>
    <w:p w14:paraId="0D7A6260" w14:textId="77777777" w:rsidR="00424DD1" w:rsidRPr="00424DD1" w:rsidRDefault="000B200C" w:rsidP="00424DD1">
      <w:pPr>
        <w:spacing w:before="200" w:after="120"/>
        <w:rPr>
          <w:rFonts w:cs="Nazanin"/>
          <w:b/>
          <w:bCs/>
          <w:sz w:val="22"/>
          <w:szCs w:val="22"/>
          <w:lang w:bidi="fa-IR"/>
        </w:rPr>
      </w:pPr>
      <w:r w:rsidRPr="00424DD1">
        <w:rPr>
          <w:rFonts w:cs="Nazanin"/>
          <w:b/>
          <w:bCs/>
          <w:sz w:val="22"/>
          <w:szCs w:val="22"/>
          <w:lang w:bidi="fa-IR"/>
        </w:rPr>
        <w:t xml:space="preserve"> </w:t>
      </w:r>
      <w:r w:rsidR="00424DD1" w:rsidRPr="00424DD1">
        <w:rPr>
          <w:rFonts w:cs="Nazanin"/>
          <w:b/>
          <w:bCs/>
          <w:sz w:val="22"/>
          <w:szCs w:val="22"/>
          <w:lang w:bidi="fa-IR"/>
        </w:rPr>
        <w:t>5. Advances in Comprehensive Sexuality Education (CSE)</w:t>
      </w:r>
    </w:p>
    <w:p w14:paraId="28D3A9E6" w14:textId="0E77C16B" w:rsidR="00424DD1" w:rsidRPr="00424DD1" w:rsidRDefault="00424DD1" w:rsidP="00424DD1">
      <w:pPr>
        <w:spacing w:before="100" w:beforeAutospacing="1" w:after="100" w:afterAutospacing="1"/>
        <w:jc w:val="both"/>
        <w:rPr>
          <w:rFonts w:cs="Times New Roman"/>
        </w:rPr>
      </w:pPr>
      <w:r w:rsidRPr="00424DD1">
        <w:rPr>
          <w:rFonts w:cs="Times New Roman"/>
        </w:rPr>
        <w:t>Research from 2023–2025 has increasingly positioned comprehensive sexuality education (CSE) as an essential pillar of school health education, addressing rising concerns around adolescent sexual health, gender-based violence, STI rates, unintended pregnancies, and inclusivity for diverse sexual orientations and gender identities [45]. Guided by updated UNESCO and WHO standards, CSE is defined as a rights-based, age-appropriate, culturally relevant curriculum that covers relationships, consent, contraception, sexual diversity, gender equality, and online safety [46]. Systematic reviews and meta-analyses from this period confirm that well-implemented school-based CSE programs significantly delay sexual debut, increase contraceptive use, reduce STI and pregnancy risks, and foster positive attitudes toward sexual diversity [47]. A 2025 systematic review of school-based interventions highlighted promising approaches, including spiraled K-12 curricula that build sequentially across grades, interactive methods, and teacher training, yielding moderate to large effects on knowledge, attitudes, and behaviors [48].</w:t>
      </w:r>
      <w:r>
        <w:rPr>
          <w:rFonts w:cs="Times New Roman"/>
        </w:rPr>
        <w:t xml:space="preserve"> </w:t>
      </w:r>
      <w:r w:rsidRPr="00424DD1">
        <w:rPr>
          <w:rFonts w:cs="Times New Roman"/>
        </w:rPr>
        <w:t>Innovations in delivery modes have accelerated post-pandemic, with hybrid and digital CSE platforms showing particular promise in overcoming access barriers in low- and middle-income countries (LMICs) [49]. Studies demonstrate that e-learning modules enhance reach, reduce stigma around LGBTQ+ topics, and improve self-efficacy in refusal skills and help-seeking [50]. Equity-focused adaptations emphasize cultural sensitivity, incorporating community and parental engagement to increase acceptability in conservative or underserved settings [51]. Emerging evidence also links CSE to broader outcomes, including reduced dating violence, improved mental health through empowerment, and greater appreciation of sexual diversity [52]. Qualitative research underscores adolescents' high demand for comprehensive, non-judgmental school-based sexuality education, though implementation gaps persist due to political resistance, teacher discomfort, and resource limitations [53].</w:t>
      </w:r>
      <w:r>
        <w:rPr>
          <w:rFonts w:cs="Times New Roman"/>
        </w:rPr>
        <w:t xml:space="preserve"> </w:t>
      </w:r>
      <w:r w:rsidRPr="00424DD1">
        <w:rPr>
          <w:rFonts w:cs="Times New Roman"/>
        </w:rPr>
        <w:t>Implementation science highlights facilitators such as policy mandates, professional development, and youth co-design, which enhance fidelity and sustainability [54]. Despite challenges, 2023–2025 advances affirm CSE's scalability and transformative potential when integrated within Health Promoting Schools frameworks, calling for mandatory, evidence-based programs that address intersectional vulnerabilities [55]. Overall, recent research strengthens the case for universal CSE as a preventive strategy that promotes holistic adolescent well-being and health equity.</w:t>
      </w:r>
    </w:p>
    <w:p w14:paraId="6C0F3822" w14:textId="2048B694" w:rsidR="00424DD1" w:rsidRPr="00424DD1" w:rsidRDefault="00424DD1" w:rsidP="00424DD1">
      <w:pPr>
        <w:spacing w:before="100" w:beforeAutospacing="1" w:after="100" w:afterAutospacing="1"/>
        <w:jc w:val="center"/>
        <w:rPr>
          <w:rFonts w:cs="Times New Roman"/>
          <w:b/>
          <w:bCs/>
          <w:sz w:val="18"/>
          <w:szCs w:val="18"/>
        </w:rPr>
      </w:pPr>
      <w:r w:rsidRPr="00424DD1">
        <w:rPr>
          <w:rFonts w:cs="Times New Roman"/>
          <w:b/>
          <w:bCs/>
          <w:sz w:val="18"/>
          <w:szCs w:val="18"/>
        </w:rPr>
        <w:t>Table 4</w:t>
      </w:r>
      <w:r>
        <w:rPr>
          <w:rFonts w:cs="Times New Roman"/>
          <w:b/>
          <w:bCs/>
          <w:sz w:val="18"/>
          <w:szCs w:val="18"/>
        </w:rPr>
        <w:t>.</w:t>
      </w:r>
      <w:r w:rsidRPr="00424DD1">
        <w:rPr>
          <w:rFonts w:cs="Times New Roman"/>
          <w:b/>
          <w:bCs/>
          <w:sz w:val="18"/>
          <w:szCs w:val="18"/>
        </w:rPr>
        <w:t xml:space="preserve"> Key Recent Studies on School-Based Comprehensive Sexuality Education (2023–2025)</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424DD1" w14:paraId="7CCD6811" w14:textId="77777777" w:rsidTr="00424DD1">
        <w:tc>
          <w:tcPr>
            <w:tcW w:w="2336" w:type="dxa"/>
            <w:tcBorders>
              <w:bottom w:val="single" w:sz="4" w:space="0" w:color="auto"/>
            </w:tcBorders>
            <w:vAlign w:val="center"/>
          </w:tcPr>
          <w:p w14:paraId="33F80A32" w14:textId="6C6F5996" w:rsidR="00424DD1" w:rsidRPr="00424DD1" w:rsidRDefault="00424DD1" w:rsidP="00424DD1">
            <w:pPr>
              <w:jc w:val="center"/>
              <w:rPr>
                <w:rFonts w:cs="Times New Roman"/>
                <w:sz w:val="18"/>
                <w:szCs w:val="18"/>
              </w:rPr>
            </w:pPr>
            <w:r w:rsidRPr="0099081C">
              <w:rPr>
                <w:rFonts w:cs="Times New Roman"/>
                <w:sz w:val="18"/>
                <w:szCs w:val="18"/>
              </w:rPr>
              <w:t>Study/Source (Year)</w:t>
            </w:r>
          </w:p>
        </w:tc>
        <w:tc>
          <w:tcPr>
            <w:tcW w:w="2336" w:type="dxa"/>
            <w:tcBorders>
              <w:bottom w:val="single" w:sz="4" w:space="0" w:color="auto"/>
            </w:tcBorders>
            <w:vAlign w:val="center"/>
          </w:tcPr>
          <w:p w14:paraId="4DAC00D2" w14:textId="06CCB21A" w:rsidR="00424DD1" w:rsidRPr="00424DD1" w:rsidRDefault="00424DD1" w:rsidP="00424DD1">
            <w:pPr>
              <w:jc w:val="center"/>
              <w:rPr>
                <w:rFonts w:cs="Times New Roman"/>
                <w:sz w:val="18"/>
                <w:szCs w:val="18"/>
              </w:rPr>
            </w:pPr>
            <w:r w:rsidRPr="0099081C">
              <w:rPr>
                <w:rFonts w:cs="Times New Roman"/>
                <w:sz w:val="18"/>
                <w:szCs w:val="18"/>
              </w:rPr>
              <w:t>Focus Area</w:t>
            </w:r>
          </w:p>
        </w:tc>
        <w:tc>
          <w:tcPr>
            <w:tcW w:w="2336" w:type="dxa"/>
            <w:tcBorders>
              <w:bottom w:val="single" w:sz="4" w:space="0" w:color="auto"/>
            </w:tcBorders>
            <w:vAlign w:val="center"/>
          </w:tcPr>
          <w:p w14:paraId="5AA85E44" w14:textId="75D9446B" w:rsidR="00424DD1" w:rsidRPr="00424DD1" w:rsidRDefault="00424DD1" w:rsidP="00424DD1">
            <w:pPr>
              <w:jc w:val="center"/>
              <w:rPr>
                <w:rFonts w:cs="Times New Roman"/>
                <w:sz w:val="18"/>
                <w:szCs w:val="18"/>
              </w:rPr>
            </w:pPr>
            <w:r w:rsidRPr="0099081C">
              <w:rPr>
                <w:rFonts w:cs="Times New Roman"/>
                <w:sz w:val="18"/>
                <w:szCs w:val="18"/>
              </w:rPr>
              <w:t>Key Outcomes</w:t>
            </w:r>
          </w:p>
        </w:tc>
        <w:tc>
          <w:tcPr>
            <w:tcW w:w="2337" w:type="dxa"/>
            <w:tcBorders>
              <w:bottom w:val="single" w:sz="4" w:space="0" w:color="auto"/>
            </w:tcBorders>
            <w:vAlign w:val="center"/>
          </w:tcPr>
          <w:p w14:paraId="083538B7" w14:textId="2B22A6D2" w:rsidR="00424DD1" w:rsidRPr="00424DD1" w:rsidRDefault="00424DD1" w:rsidP="00424DD1">
            <w:pPr>
              <w:jc w:val="center"/>
              <w:rPr>
                <w:rFonts w:cs="Times New Roman"/>
                <w:sz w:val="18"/>
                <w:szCs w:val="18"/>
              </w:rPr>
            </w:pPr>
            <w:r w:rsidRPr="0099081C">
              <w:rPr>
                <w:rFonts w:cs="Times New Roman"/>
                <w:sz w:val="18"/>
                <w:szCs w:val="18"/>
              </w:rPr>
              <w:t>Effect Size/Findings</w:t>
            </w:r>
          </w:p>
        </w:tc>
      </w:tr>
      <w:tr w:rsidR="00424DD1" w14:paraId="096470E7" w14:textId="77777777" w:rsidTr="00424DD1">
        <w:tc>
          <w:tcPr>
            <w:tcW w:w="2336" w:type="dxa"/>
            <w:tcBorders>
              <w:top w:val="single" w:sz="4" w:space="0" w:color="auto"/>
            </w:tcBorders>
            <w:vAlign w:val="center"/>
          </w:tcPr>
          <w:p w14:paraId="6F1E5F17" w14:textId="215FBC08" w:rsidR="00424DD1" w:rsidRPr="00424DD1" w:rsidRDefault="00424DD1" w:rsidP="00424DD1">
            <w:pPr>
              <w:jc w:val="center"/>
              <w:rPr>
                <w:rFonts w:cs="Times New Roman"/>
                <w:sz w:val="18"/>
                <w:szCs w:val="18"/>
              </w:rPr>
            </w:pPr>
            <w:r w:rsidRPr="0099081C">
              <w:rPr>
                <w:rFonts w:cs="Times New Roman"/>
                <w:sz w:val="18"/>
                <w:szCs w:val="18"/>
              </w:rPr>
              <w:t>UNESCO/WHO CSE Standards Update (2023–2025)</w:t>
            </w:r>
          </w:p>
        </w:tc>
        <w:tc>
          <w:tcPr>
            <w:tcW w:w="2336" w:type="dxa"/>
            <w:tcBorders>
              <w:top w:val="single" w:sz="4" w:space="0" w:color="auto"/>
            </w:tcBorders>
            <w:vAlign w:val="center"/>
          </w:tcPr>
          <w:p w14:paraId="7B32EC90" w14:textId="70BD4590" w:rsidR="00424DD1" w:rsidRPr="00424DD1" w:rsidRDefault="00424DD1" w:rsidP="00424DD1">
            <w:pPr>
              <w:jc w:val="center"/>
              <w:rPr>
                <w:rFonts w:cs="Times New Roman"/>
                <w:sz w:val="18"/>
                <w:szCs w:val="18"/>
              </w:rPr>
            </w:pPr>
            <w:r w:rsidRPr="0099081C">
              <w:rPr>
                <w:rFonts w:cs="Times New Roman"/>
                <w:sz w:val="18"/>
                <w:szCs w:val="18"/>
              </w:rPr>
              <w:t>Global guidelines</w:t>
            </w:r>
          </w:p>
        </w:tc>
        <w:tc>
          <w:tcPr>
            <w:tcW w:w="2336" w:type="dxa"/>
            <w:tcBorders>
              <w:top w:val="single" w:sz="4" w:space="0" w:color="auto"/>
            </w:tcBorders>
            <w:vAlign w:val="center"/>
          </w:tcPr>
          <w:p w14:paraId="6BAA5036" w14:textId="28228A2B" w:rsidR="00424DD1" w:rsidRPr="00424DD1" w:rsidRDefault="00424DD1" w:rsidP="00424DD1">
            <w:pPr>
              <w:jc w:val="center"/>
              <w:rPr>
                <w:rFonts w:cs="Times New Roman"/>
                <w:sz w:val="18"/>
                <w:szCs w:val="18"/>
              </w:rPr>
            </w:pPr>
            <w:r w:rsidRPr="0099081C">
              <w:rPr>
                <w:rFonts w:cs="Times New Roman"/>
                <w:sz w:val="18"/>
                <w:szCs w:val="18"/>
              </w:rPr>
              <w:t>Rights-based, inclusive curricula</w:t>
            </w:r>
          </w:p>
        </w:tc>
        <w:tc>
          <w:tcPr>
            <w:tcW w:w="2337" w:type="dxa"/>
            <w:tcBorders>
              <w:top w:val="single" w:sz="4" w:space="0" w:color="auto"/>
            </w:tcBorders>
            <w:vAlign w:val="center"/>
          </w:tcPr>
          <w:p w14:paraId="7FD42A37" w14:textId="501B59FA" w:rsidR="00424DD1" w:rsidRPr="00424DD1" w:rsidRDefault="00424DD1" w:rsidP="00424DD1">
            <w:pPr>
              <w:jc w:val="center"/>
              <w:rPr>
                <w:rFonts w:cs="Times New Roman"/>
                <w:sz w:val="18"/>
                <w:szCs w:val="18"/>
              </w:rPr>
            </w:pPr>
            <w:r w:rsidRPr="0099081C">
              <w:rPr>
                <w:rFonts w:cs="Times New Roman"/>
                <w:sz w:val="18"/>
                <w:szCs w:val="18"/>
              </w:rPr>
              <w:t>Strong foundational framework</w:t>
            </w:r>
          </w:p>
        </w:tc>
      </w:tr>
      <w:tr w:rsidR="00424DD1" w14:paraId="1E2B7EC1" w14:textId="77777777" w:rsidTr="00424DD1">
        <w:tc>
          <w:tcPr>
            <w:tcW w:w="2336" w:type="dxa"/>
            <w:vAlign w:val="center"/>
          </w:tcPr>
          <w:p w14:paraId="6D4BF733" w14:textId="4457BB2A" w:rsidR="00424DD1" w:rsidRPr="00424DD1" w:rsidRDefault="00424DD1" w:rsidP="00424DD1">
            <w:pPr>
              <w:jc w:val="center"/>
              <w:rPr>
                <w:rFonts w:cs="Times New Roman"/>
                <w:sz w:val="18"/>
                <w:szCs w:val="18"/>
              </w:rPr>
            </w:pPr>
            <w:r w:rsidRPr="0099081C">
              <w:rPr>
                <w:rFonts w:cs="Times New Roman"/>
                <w:sz w:val="18"/>
                <w:szCs w:val="18"/>
              </w:rPr>
              <w:t>Systematic Review of School-Based CSE (2025)</w:t>
            </w:r>
          </w:p>
        </w:tc>
        <w:tc>
          <w:tcPr>
            <w:tcW w:w="2336" w:type="dxa"/>
            <w:vAlign w:val="center"/>
          </w:tcPr>
          <w:p w14:paraId="165762F4" w14:textId="74B410F2" w:rsidR="00424DD1" w:rsidRPr="00424DD1" w:rsidRDefault="00424DD1" w:rsidP="00424DD1">
            <w:pPr>
              <w:jc w:val="center"/>
              <w:rPr>
                <w:rFonts w:cs="Times New Roman"/>
                <w:sz w:val="18"/>
                <w:szCs w:val="18"/>
              </w:rPr>
            </w:pPr>
            <w:r w:rsidRPr="0099081C">
              <w:rPr>
                <w:rFonts w:cs="Times New Roman"/>
                <w:sz w:val="18"/>
                <w:szCs w:val="18"/>
              </w:rPr>
              <w:t>Effectiveness across outcomes</w:t>
            </w:r>
          </w:p>
        </w:tc>
        <w:tc>
          <w:tcPr>
            <w:tcW w:w="2336" w:type="dxa"/>
            <w:vAlign w:val="center"/>
          </w:tcPr>
          <w:p w14:paraId="317BF532" w14:textId="3AFB1A30" w:rsidR="00424DD1" w:rsidRPr="00424DD1" w:rsidRDefault="00424DD1" w:rsidP="00424DD1">
            <w:pPr>
              <w:jc w:val="center"/>
              <w:rPr>
                <w:rFonts w:cs="Times New Roman"/>
                <w:sz w:val="18"/>
                <w:szCs w:val="18"/>
              </w:rPr>
            </w:pPr>
            <w:r w:rsidRPr="0099081C">
              <w:rPr>
                <w:rFonts w:cs="Times New Roman"/>
                <w:sz w:val="18"/>
                <w:szCs w:val="18"/>
              </w:rPr>
              <w:t>Delayed debut, increased contraceptive use</w:t>
            </w:r>
          </w:p>
        </w:tc>
        <w:tc>
          <w:tcPr>
            <w:tcW w:w="2337" w:type="dxa"/>
            <w:vAlign w:val="center"/>
          </w:tcPr>
          <w:p w14:paraId="7B7A4EBC" w14:textId="4E286A18" w:rsidR="00424DD1" w:rsidRPr="00424DD1" w:rsidRDefault="00424DD1" w:rsidP="00424DD1">
            <w:pPr>
              <w:jc w:val="center"/>
              <w:rPr>
                <w:rFonts w:cs="Times New Roman"/>
                <w:sz w:val="18"/>
                <w:szCs w:val="18"/>
              </w:rPr>
            </w:pPr>
            <w:r w:rsidRPr="0099081C">
              <w:rPr>
                <w:rFonts w:cs="Times New Roman"/>
                <w:sz w:val="18"/>
                <w:szCs w:val="18"/>
              </w:rPr>
              <w:t>Moderate-large effects</w:t>
            </w:r>
          </w:p>
        </w:tc>
      </w:tr>
      <w:tr w:rsidR="00424DD1" w14:paraId="55246B6C" w14:textId="77777777" w:rsidTr="00424DD1">
        <w:tc>
          <w:tcPr>
            <w:tcW w:w="2336" w:type="dxa"/>
            <w:vAlign w:val="center"/>
          </w:tcPr>
          <w:p w14:paraId="05AA80B8" w14:textId="7F7AFF92" w:rsidR="00424DD1" w:rsidRPr="00424DD1" w:rsidRDefault="00424DD1" w:rsidP="00424DD1">
            <w:pPr>
              <w:jc w:val="center"/>
              <w:rPr>
                <w:rFonts w:cs="Times New Roman"/>
                <w:sz w:val="18"/>
                <w:szCs w:val="18"/>
              </w:rPr>
            </w:pPr>
            <w:r w:rsidRPr="0099081C">
              <w:rPr>
                <w:rFonts w:cs="Times New Roman"/>
                <w:sz w:val="18"/>
                <w:szCs w:val="18"/>
              </w:rPr>
              <w:t>Promising Approaches Review (2025)</w:t>
            </w:r>
          </w:p>
        </w:tc>
        <w:tc>
          <w:tcPr>
            <w:tcW w:w="2336" w:type="dxa"/>
            <w:vAlign w:val="center"/>
          </w:tcPr>
          <w:p w14:paraId="7918B4B5" w14:textId="2CAB709D" w:rsidR="00424DD1" w:rsidRPr="00424DD1" w:rsidRDefault="00424DD1" w:rsidP="00424DD1">
            <w:pPr>
              <w:jc w:val="center"/>
              <w:rPr>
                <w:rFonts w:cs="Times New Roman"/>
                <w:sz w:val="18"/>
                <w:szCs w:val="18"/>
              </w:rPr>
            </w:pPr>
            <w:r w:rsidRPr="0099081C">
              <w:rPr>
                <w:rFonts w:cs="Times New Roman"/>
                <w:sz w:val="18"/>
                <w:szCs w:val="18"/>
              </w:rPr>
              <w:t>K-12 spiraled interventions</w:t>
            </w:r>
          </w:p>
        </w:tc>
        <w:tc>
          <w:tcPr>
            <w:tcW w:w="2336" w:type="dxa"/>
            <w:vAlign w:val="center"/>
          </w:tcPr>
          <w:p w14:paraId="43D987DA" w14:textId="480BF227" w:rsidR="00424DD1" w:rsidRPr="00424DD1" w:rsidRDefault="00424DD1" w:rsidP="00424DD1">
            <w:pPr>
              <w:jc w:val="center"/>
              <w:rPr>
                <w:rFonts w:cs="Times New Roman"/>
                <w:sz w:val="18"/>
                <w:szCs w:val="18"/>
              </w:rPr>
            </w:pPr>
            <w:r w:rsidRPr="0099081C">
              <w:rPr>
                <w:rFonts w:cs="Times New Roman"/>
                <w:sz w:val="18"/>
                <w:szCs w:val="18"/>
              </w:rPr>
              <w:t>Improved knowledge, attitudes, behaviors</w:t>
            </w:r>
          </w:p>
        </w:tc>
        <w:tc>
          <w:tcPr>
            <w:tcW w:w="2337" w:type="dxa"/>
            <w:vAlign w:val="center"/>
          </w:tcPr>
          <w:p w14:paraId="0B3D9907" w14:textId="0D55A813" w:rsidR="00424DD1" w:rsidRPr="00424DD1" w:rsidRDefault="00424DD1" w:rsidP="00424DD1">
            <w:pPr>
              <w:jc w:val="center"/>
              <w:rPr>
                <w:rFonts w:cs="Times New Roman"/>
                <w:sz w:val="18"/>
                <w:szCs w:val="18"/>
              </w:rPr>
            </w:pPr>
            <w:r w:rsidRPr="0099081C">
              <w:rPr>
                <w:rFonts w:cs="Times New Roman"/>
                <w:sz w:val="18"/>
                <w:szCs w:val="18"/>
              </w:rPr>
              <w:t>Promising-moderate</w:t>
            </w:r>
          </w:p>
        </w:tc>
      </w:tr>
      <w:tr w:rsidR="00424DD1" w14:paraId="3A5E4A32" w14:textId="77777777" w:rsidTr="00424DD1">
        <w:tc>
          <w:tcPr>
            <w:tcW w:w="2336" w:type="dxa"/>
            <w:vAlign w:val="center"/>
          </w:tcPr>
          <w:p w14:paraId="27DAEECC" w14:textId="4E5127A5" w:rsidR="00424DD1" w:rsidRPr="00424DD1" w:rsidRDefault="00424DD1" w:rsidP="00424DD1">
            <w:pPr>
              <w:jc w:val="center"/>
              <w:rPr>
                <w:rFonts w:cs="Times New Roman"/>
                <w:sz w:val="18"/>
                <w:szCs w:val="18"/>
              </w:rPr>
            </w:pPr>
            <w:r w:rsidRPr="0099081C">
              <w:rPr>
                <w:rFonts w:cs="Times New Roman"/>
                <w:sz w:val="18"/>
                <w:szCs w:val="18"/>
              </w:rPr>
              <w:t>Digital/Hybrid CSE in LMICs (2024–2025)</w:t>
            </w:r>
          </w:p>
        </w:tc>
        <w:tc>
          <w:tcPr>
            <w:tcW w:w="2336" w:type="dxa"/>
            <w:vAlign w:val="center"/>
          </w:tcPr>
          <w:p w14:paraId="1507BD50" w14:textId="1A6AC9B9" w:rsidR="00424DD1" w:rsidRPr="00424DD1" w:rsidRDefault="00424DD1" w:rsidP="00424DD1">
            <w:pPr>
              <w:jc w:val="center"/>
              <w:rPr>
                <w:rFonts w:cs="Times New Roman"/>
                <w:sz w:val="18"/>
                <w:szCs w:val="18"/>
              </w:rPr>
            </w:pPr>
            <w:r w:rsidRPr="0099081C">
              <w:rPr>
                <w:rFonts w:cs="Times New Roman"/>
                <w:sz w:val="18"/>
                <w:szCs w:val="18"/>
              </w:rPr>
              <w:t>Access and stigma reduction</w:t>
            </w:r>
          </w:p>
        </w:tc>
        <w:tc>
          <w:tcPr>
            <w:tcW w:w="2336" w:type="dxa"/>
            <w:vAlign w:val="center"/>
          </w:tcPr>
          <w:p w14:paraId="64F65830" w14:textId="0DC97D73" w:rsidR="00424DD1" w:rsidRPr="00424DD1" w:rsidRDefault="00424DD1" w:rsidP="00424DD1">
            <w:pPr>
              <w:jc w:val="center"/>
              <w:rPr>
                <w:rFonts w:cs="Times New Roman"/>
                <w:sz w:val="18"/>
                <w:szCs w:val="18"/>
              </w:rPr>
            </w:pPr>
            <w:r w:rsidRPr="0099081C">
              <w:rPr>
                <w:rFonts w:cs="Times New Roman"/>
                <w:sz w:val="18"/>
                <w:szCs w:val="18"/>
              </w:rPr>
              <w:t>Enhanced reach, reduced stigma</w:t>
            </w:r>
          </w:p>
        </w:tc>
        <w:tc>
          <w:tcPr>
            <w:tcW w:w="2337" w:type="dxa"/>
            <w:vAlign w:val="center"/>
          </w:tcPr>
          <w:p w14:paraId="59A21722" w14:textId="05DE63F2" w:rsidR="00424DD1" w:rsidRPr="00424DD1" w:rsidRDefault="00424DD1" w:rsidP="00424DD1">
            <w:pPr>
              <w:jc w:val="center"/>
              <w:rPr>
                <w:rFonts w:cs="Times New Roman"/>
                <w:sz w:val="18"/>
                <w:szCs w:val="18"/>
              </w:rPr>
            </w:pPr>
            <w:r w:rsidRPr="0099081C">
              <w:rPr>
                <w:rFonts w:cs="Times New Roman"/>
                <w:sz w:val="18"/>
                <w:szCs w:val="18"/>
              </w:rPr>
              <w:t>Significant potential</w:t>
            </w:r>
          </w:p>
        </w:tc>
      </w:tr>
      <w:tr w:rsidR="00424DD1" w14:paraId="653275F2" w14:textId="77777777" w:rsidTr="00424DD1">
        <w:tc>
          <w:tcPr>
            <w:tcW w:w="2336" w:type="dxa"/>
            <w:vAlign w:val="center"/>
          </w:tcPr>
          <w:p w14:paraId="30822AA9" w14:textId="5BE3B05C" w:rsidR="00424DD1" w:rsidRPr="00424DD1" w:rsidRDefault="00424DD1" w:rsidP="00424DD1">
            <w:pPr>
              <w:jc w:val="center"/>
              <w:rPr>
                <w:rFonts w:cs="Times New Roman"/>
                <w:sz w:val="18"/>
                <w:szCs w:val="18"/>
              </w:rPr>
            </w:pPr>
            <w:r w:rsidRPr="0099081C">
              <w:rPr>
                <w:rFonts w:cs="Times New Roman"/>
                <w:sz w:val="18"/>
                <w:szCs w:val="18"/>
              </w:rPr>
              <w:t>Culturally Adapted Programs (2025)</w:t>
            </w:r>
          </w:p>
        </w:tc>
        <w:tc>
          <w:tcPr>
            <w:tcW w:w="2336" w:type="dxa"/>
            <w:vAlign w:val="center"/>
          </w:tcPr>
          <w:p w14:paraId="0CAB6E90" w14:textId="48F1A565" w:rsidR="00424DD1" w:rsidRPr="00424DD1" w:rsidRDefault="00424DD1" w:rsidP="00424DD1">
            <w:pPr>
              <w:jc w:val="center"/>
              <w:rPr>
                <w:rFonts w:cs="Times New Roman"/>
                <w:sz w:val="18"/>
                <w:szCs w:val="18"/>
              </w:rPr>
            </w:pPr>
            <w:r w:rsidRPr="0099081C">
              <w:rPr>
                <w:rFonts w:cs="Times New Roman"/>
                <w:sz w:val="18"/>
                <w:szCs w:val="18"/>
              </w:rPr>
              <w:t>Equity and parental engagement</w:t>
            </w:r>
          </w:p>
        </w:tc>
        <w:tc>
          <w:tcPr>
            <w:tcW w:w="2336" w:type="dxa"/>
            <w:vAlign w:val="center"/>
          </w:tcPr>
          <w:p w14:paraId="27BD43A2" w14:textId="7962E3B6" w:rsidR="00424DD1" w:rsidRPr="00424DD1" w:rsidRDefault="00424DD1" w:rsidP="00424DD1">
            <w:pPr>
              <w:jc w:val="center"/>
              <w:rPr>
                <w:rFonts w:cs="Times New Roman"/>
                <w:sz w:val="18"/>
                <w:szCs w:val="18"/>
              </w:rPr>
            </w:pPr>
            <w:r w:rsidRPr="0099081C">
              <w:rPr>
                <w:rFonts w:cs="Times New Roman"/>
                <w:sz w:val="18"/>
                <w:szCs w:val="18"/>
              </w:rPr>
              <w:t>Increased acceptability, sustainability</w:t>
            </w:r>
          </w:p>
        </w:tc>
        <w:tc>
          <w:tcPr>
            <w:tcW w:w="2337" w:type="dxa"/>
            <w:vAlign w:val="center"/>
          </w:tcPr>
          <w:p w14:paraId="22D875F8" w14:textId="61C6BD05" w:rsidR="00424DD1" w:rsidRPr="00424DD1" w:rsidRDefault="00424DD1" w:rsidP="00424DD1">
            <w:pPr>
              <w:jc w:val="center"/>
              <w:rPr>
                <w:rFonts w:cs="Times New Roman"/>
                <w:sz w:val="18"/>
                <w:szCs w:val="18"/>
              </w:rPr>
            </w:pPr>
            <w:r w:rsidRPr="0099081C">
              <w:rPr>
                <w:rFonts w:cs="Times New Roman"/>
                <w:sz w:val="18"/>
                <w:szCs w:val="18"/>
              </w:rPr>
              <w:t>Effective in diverse settings</w:t>
            </w:r>
          </w:p>
        </w:tc>
      </w:tr>
      <w:tr w:rsidR="00424DD1" w14:paraId="1FEB6C85" w14:textId="77777777" w:rsidTr="00424DD1">
        <w:tc>
          <w:tcPr>
            <w:tcW w:w="2336" w:type="dxa"/>
            <w:vAlign w:val="center"/>
          </w:tcPr>
          <w:p w14:paraId="3A281D89" w14:textId="25AEF014" w:rsidR="00424DD1" w:rsidRPr="00424DD1" w:rsidRDefault="00424DD1" w:rsidP="00424DD1">
            <w:pPr>
              <w:jc w:val="center"/>
              <w:rPr>
                <w:rFonts w:cs="Times New Roman"/>
                <w:sz w:val="18"/>
                <w:szCs w:val="18"/>
              </w:rPr>
            </w:pPr>
            <w:r w:rsidRPr="0099081C">
              <w:rPr>
                <w:rFonts w:cs="Times New Roman"/>
                <w:sz w:val="18"/>
                <w:szCs w:val="18"/>
              </w:rPr>
              <w:t>CSE and Broader Outcomes Meta (2025)</w:t>
            </w:r>
          </w:p>
        </w:tc>
        <w:tc>
          <w:tcPr>
            <w:tcW w:w="2336" w:type="dxa"/>
            <w:vAlign w:val="center"/>
          </w:tcPr>
          <w:p w14:paraId="3001D16F" w14:textId="433CE6DD" w:rsidR="00424DD1" w:rsidRPr="00424DD1" w:rsidRDefault="00424DD1" w:rsidP="00424DD1">
            <w:pPr>
              <w:jc w:val="center"/>
              <w:rPr>
                <w:rFonts w:cs="Times New Roman"/>
                <w:sz w:val="18"/>
                <w:szCs w:val="18"/>
              </w:rPr>
            </w:pPr>
            <w:r w:rsidRPr="0099081C">
              <w:rPr>
                <w:rFonts w:cs="Times New Roman"/>
                <w:sz w:val="18"/>
                <w:szCs w:val="18"/>
              </w:rPr>
              <w:t>Violence prevention, mental health</w:t>
            </w:r>
          </w:p>
        </w:tc>
        <w:tc>
          <w:tcPr>
            <w:tcW w:w="2336" w:type="dxa"/>
            <w:vAlign w:val="center"/>
          </w:tcPr>
          <w:p w14:paraId="50CC5FCC" w14:textId="12717D96" w:rsidR="00424DD1" w:rsidRPr="00424DD1" w:rsidRDefault="00424DD1" w:rsidP="00424DD1">
            <w:pPr>
              <w:jc w:val="center"/>
              <w:rPr>
                <w:rFonts w:cs="Times New Roman"/>
                <w:sz w:val="18"/>
                <w:szCs w:val="18"/>
              </w:rPr>
            </w:pPr>
            <w:r w:rsidRPr="0099081C">
              <w:rPr>
                <w:rFonts w:cs="Times New Roman"/>
                <w:sz w:val="18"/>
                <w:szCs w:val="18"/>
              </w:rPr>
              <w:t>Reduced dating violence, improved well-being</w:t>
            </w:r>
          </w:p>
        </w:tc>
        <w:tc>
          <w:tcPr>
            <w:tcW w:w="2337" w:type="dxa"/>
            <w:vAlign w:val="center"/>
          </w:tcPr>
          <w:p w14:paraId="4B83F218" w14:textId="26EB9A0B" w:rsidR="00424DD1" w:rsidRPr="00424DD1" w:rsidRDefault="00424DD1" w:rsidP="00424DD1">
            <w:pPr>
              <w:jc w:val="center"/>
              <w:rPr>
                <w:rFonts w:cs="Times New Roman"/>
                <w:sz w:val="18"/>
                <w:szCs w:val="18"/>
              </w:rPr>
            </w:pPr>
            <w:r w:rsidRPr="0099081C">
              <w:rPr>
                <w:rFonts w:cs="Times New Roman"/>
                <w:sz w:val="18"/>
                <w:szCs w:val="18"/>
              </w:rPr>
              <w:t>Positive associations</w:t>
            </w:r>
          </w:p>
        </w:tc>
      </w:tr>
    </w:tbl>
    <w:p w14:paraId="3189C5EA" w14:textId="4F8E581B" w:rsidR="00424DD1" w:rsidRDefault="00424DD1"/>
    <w:p w14:paraId="78BE986F" w14:textId="040B91EA" w:rsidR="00424DD1" w:rsidRPr="00424DD1" w:rsidRDefault="00424DD1" w:rsidP="00424DD1">
      <w:pPr>
        <w:spacing w:before="200" w:after="120"/>
        <w:rPr>
          <w:rFonts w:cs="Nazanin"/>
          <w:b/>
          <w:bCs/>
          <w:sz w:val="22"/>
          <w:szCs w:val="22"/>
          <w:lang w:bidi="fa-IR"/>
        </w:rPr>
      </w:pPr>
      <w:r w:rsidRPr="00424DD1">
        <w:rPr>
          <w:rFonts w:cs="Nazanin"/>
          <w:b/>
          <w:bCs/>
          <w:sz w:val="22"/>
          <w:szCs w:val="22"/>
          <w:lang w:bidi="fa-IR"/>
        </w:rPr>
        <w:t>6</w:t>
      </w:r>
      <w:r w:rsidRPr="00424DD1">
        <w:rPr>
          <w:rFonts w:cs="Nazanin"/>
          <w:b/>
          <w:bCs/>
          <w:sz w:val="22"/>
          <w:szCs w:val="22"/>
          <w:lang w:bidi="fa-IR"/>
        </w:rPr>
        <w:t>. Equity Considerations, Cultural Adaptation, and Planetary Health Integration</w:t>
      </w:r>
    </w:p>
    <w:p w14:paraId="291CE0A5" w14:textId="61D1C011" w:rsidR="00424DD1" w:rsidRPr="00424DD1" w:rsidRDefault="00424DD1" w:rsidP="00424DD1">
      <w:pPr>
        <w:spacing w:before="100" w:beforeAutospacing="1" w:after="100" w:afterAutospacing="1"/>
        <w:jc w:val="both"/>
        <w:rPr>
          <w:rFonts w:cs="Times New Roman"/>
        </w:rPr>
      </w:pPr>
      <w:r w:rsidRPr="00424DD1">
        <w:rPr>
          <w:rFonts w:cs="Times New Roman"/>
        </w:rPr>
        <w:t>Recent studies from 2023–2025 highlight growing attention to equity, cultural adaptation, and planetary health integration in school health education, responding to persistent disparities and emerging ecological threats like climate anxiety [56]. Equity-focused interventions target underserved populations, including ethnic minorities, low-resource settings, and students with disabilities, demonstrating that culturally tailored programs significantly reduce health gaps in outcomes such as physical activity, nutrition, and mental health literacy [57]. Systematic reviews emphasize intersectional approaches that address overlapping vulnerabilities related to gender, socioeconomic status, and geography [58]. In LMICs and global south contexts, adapted Health Promoting Schools models prove feasible and effective when co-designed with communities, incorporating local values and languages [59].</w:t>
      </w:r>
      <w:r>
        <w:rPr>
          <w:rFonts w:cs="Times New Roman"/>
        </w:rPr>
        <w:t xml:space="preserve"> </w:t>
      </w:r>
      <w:r w:rsidRPr="00424DD1">
        <w:rPr>
          <w:rFonts w:cs="Times New Roman"/>
        </w:rPr>
        <w:t>Cultural adaptation emerges as a key facilitator, with evidence showing enhanced engagement and outcomes when programs reflect students' cultural contexts, such as integrating indigenous knowledge or addressing stigma in conservative settings [60]. Planetary health education represents a transformative trend, linking personal health behaviors to environmental sustainability and climate change impacts [61]. A 2025 scoping review of planetary health frameworks identified core competencies—interconnection, systems thinking, and equity—that are increasingly embedded in school curricula through interdisciplinary modules on sustainable food systems, active transport, and climate anxiety coping [62]. Pilot interventions combining planetary health with traditional health topics yield improved environmental awareness, pro-ecological behaviors, and reduced eco-anxiety among adolescents [63].</w:t>
      </w:r>
      <w:r>
        <w:rPr>
          <w:rFonts w:cs="Times New Roman"/>
        </w:rPr>
        <w:t xml:space="preserve"> </w:t>
      </w:r>
      <w:r w:rsidRPr="00424DD1">
        <w:rPr>
          <w:rFonts w:cs="Times New Roman"/>
        </w:rPr>
        <w:t>Implementation research identifies barriers including faculty expertise gaps, curriculum overload, and policy inconsistencies, while facilitators involve teacher training, cross-sector partnerships, and youth-led initiatives [64]. Emerging tools, such as the Planetary Health Education Framework (2025), provide practical guidance for integration into existing health promotion structures [65]. Overall, 2023–2025 advances underscore the need for intersectional, culturally responsive, and ecologically conscious school health education to achieve sustainable development goals and health equity amid global challenges [66].</w:t>
      </w:r>
    </w:p>
    <w:p w14:paraId="53E2F3A1" w14:textId="77777777" w:rsidR="00424DD1" w:rsidRDefault="00424DD1" w:rsidP="00424DD1">
      <w:pPr>
        <w:spacing w:before="100" w:beforeAutospacing="1" w:after="100" w:afterAutospacing="1"/>
        <w:jc w:val="center"/>
        <w:rPr>
          <w:rFonts w:cs="Times New Roman"/>
          <w:sz w:val="18"/>
          <w:szCs w:val="18"/>
        </w:rPr>
      </w:pPr>
      <w:r w:rsidRPr="00424DD1">
        <w:rPr>
          <w:rFonts w:cs="Times New Roman"/>
          <w:sz w:val="18"/>
          <w:szCs w:val="18"/>
        </w:rPr>
        <w:t>Table 5: Key Recent Studies on Equity, Cultural Adaptation, and Planetary Health in School Health Education (2023–2025)</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424DD1" w14:paraId="4F0516AF" w14:textId="77777777" w:rsidTr="00424DD1">
        <w:tc>
          <w:tcPr>
            <w:tcW w:w="2336" w:type="dxa"/>
            <w:tcBorders>
              <w:bottom w:val="single" w:sz="4" w:space="0" w:color="auto"/>
            </w:tcBorders>
            <w:vAlign w:val="center"/>
          </w:tcPr>
          <w:p w14:paraId="6EE92768" w14:textId="4504FD0B" w:rsidR="00424DD1" w:rsidRPr="00424DD1" w:rsidRDefault="00424DD1" w:rsidP="00424DD1">
            <w:pPr>
              <w:jc w:val="center"/>
              <w:rPr>
                <w:rFonts w:cs="Times New Roman"/>
                <w:sz w:val="18"/>
                <w:szCs w:val="18"/>
              </w:rPr>
            </w:pPr>
            <w:r w:rsidRPr="0099081C">
              <w:rPr>
                <w:rFonts w:cs="Times New Roman"/>
                <w:sz w:val="18"/>
                <w:szCs w:val="18"/>
              </w:rPr>
              <w:t>Study/Source (Year)</w:t>
            </w:r>
          </w:p>
        </w:tc>
        <w:tc>
          <w:tcPr>
            <w:tcW w:w="2336" w:type="dxa"/>
            <w:tcBorders>
              <w:bottom w:val="single" w:sz="4" w:space="0" w:color="auto"/>
            </w:tcBorders>
            <w:vAlign w:val="center"/>
          </w:tcPr>
          <w:p w14:paraId="0199B573" w14:textId="6B6C7BB7" w:rsidR="00424DD1" w:rsidRPr="00424DD1" w:rsidRDefault="00424DD1" w:rsidP="00424DD1">
            <w:pPr>
              <w:jc w:val="center"/>
              <w:rPr>
                <w:rFonts w:cs="Times New Roman"/>
                <w:sz w:val="18"/>
                <w:szCs w:val="18"/>
              </w:rPr>
            </w:pPr>
            <w:r w:rsidRPr="0099081C">
              <w:rPr>
                <w:rFonts w:cs="Times New Roman"/>
                <w:sz w:val="18"/>
                <w:szCs w:val="18"/>
              </w:rPr>
              <w:t>Focus Area</w:t>
            </w:r>
          </w:p>
        </w:tc>
        <w:tc>
          <w:tcPr>
            <w:tcW w:w="2336" w:type="dxa"/>
            <w:tcBorders>
              <w:bottom w:val="single" w:sz="4" w:space="0" w:color="auto"/>
            </w:tcBorders>
            <w:vAlign w:val="center"/>
          </w:tcPr>
          <w:p w14:paraId="00D2A937" w14:textId="3BD30AD3" w:rsidR="00424DD1" w:rsidRPr="00424DD1" w:rsidRDefault="00424DD1" w:rsidP="00424DD1">
            <w:pPr>
              <w:jc w:val="center"/>
              <w:rPr>
                <w:rFonts w:cs="Times New Roman"/>
                <w:sz w:val="18"/>
                <w:szCs w:val="18"/>
              </w:rPr>
            </w:pPr>
            <w:r w:rsidRPr="0099081C">
              <w:rPr>
                <w:rFonts w:cs="Times New Roman"/>
                <w:sz w:val="18"/>
                <w:szCs w:val="18"/>
              </w:rPr>
              <w:t>Key Outcomes</w:t>
            </w:r>
          </w:p>
        </w:tc>
        <w:tc>
          <w:tcPr>
            <w:tcW w:w="2337" w:type="dxa"/>
            <w:tcBorders>
              <w:bottom w:val="single" w:sz="4" w:space="0" w:color="auto"/>
            </w:tcBorders>
            <w:vAlign w:val="center"/>
          </w:tcPr>
          <w:p w14:paraId="2CB24B72" w14:textId="2A53177F" w:rsidR="00424DD1" w:rsidRPr="00424DD1" w:rsidRDefault="00424DD1" w:rsidP="00424DD1">
            <w:pPr>
              <w:jc w:val="center"/>
              <w:rPr>
                <w:rFonts w:cs="Times New Roman"/>
                <w:sz w:val="18"/>
                <w:szCs w:val="18"/>
              </w:rPr>
            </w:pPr>
            <w:r w:rsidRPr="0099081C">
              <w:rPr>
                <w:rFonts w:cs="Times New Roman"/>
                <w:sz w:val="18"/>
                <w:szCs w:val="18"/>
              </w:rPr>
              <w:t>Effect Size/Findings</w:t>
            </w:r>
          </w:p>
        </w:tc>
      </w:tr>
      <w:tr w:rsidR="00424DD1" w14:paraId="217312CC" w14:textId="77777777" w:rsidTr="00424DD1">
        <w:tc>
          <w:tcPr>
            <w:tcW w:w="2336" w:type="dxa"/>
            <w:tcBorders>
              <w:top w:val="single" w:sz="4" w:space="0" w:color="auto"/>
            </w:tcBorders>
            <w:vAlign w:val="center"/>
          </w:tcPr>
          <w:p w14:paraId="114426F5" w14:textId="049DDB06" w:rsidR="00424DD1" w:rsidRPr="00424DD1" w:rsidRDefault="00424DD1" w:rsidP="00424DD1">
            <w:pPr>
              <w:jc w:val="center"/>
              <w:rPr>
                <w:rFonts w:cs="Times New Roman"/>
                <w:sz w:val="18"/>
                <w:szCs w:val="18"/>
              </w:rPr>
            </w:pPr>
            <w:r w:rsidRPr="0099081C">
              <w:rPr>
                <w:rFonts w:cs="Times New Roman"/>
                <w:sz w:val="18"/>
                <w:szCs w:val="18"/>
              </w:rPr>
              <w:t>Equity-Focused Interventions Review (2025)</w:t>
            </w:r>
          </w:p>
        </w:tc>
        <w:tc>
          <w:tcPr>
            <w:tcW w:w="2336" w:type="dxa"/>
            <w:tcBorders>
              <w:top w:val="single" w:sz="4" w:space="0" w:color="auto"/>
            </w:tcBorders>
            <w:vAlign w:val="center"/>
          </w:tcPr>
          <w:p w14:paraId="7E974C08" w14:textId="36E816AC" w:rsidR="00424DD1" w:rsidRPr="00424DD1" w:rsidRDefault="00424DD1" w:rsidP="00424DD1">
            <w:pPr>
              <w:jc w:val="center"/>
              <w:rPr>
                <w:rFonts w:cs="Times New Roman"/>
                <w:sz w:val="18"/>
                <w:szCs w:val="18"/>
              </w:rPr>
            </w:pPr>
            <w:r w:rsidRPr="0099081C">
              <w:rPr>
                <w:rFonts w:cs="Times New Roman"/>
                <w:sz w:val="18"/>
                <w:szCs w:val="18"/>
              </w:rPr>
              <w:t>Disparities in underserved groups</w:t>
            </w:r>
          </w:p>
        </w:tc>
        <w:tc>
          <w:tcPr>
            <w:tcW w:w="2336" w:type="dxa"/>
            <w:tcBorders>
              <w:top w:val="single" w:sz="4" w:space="0" w:color="auto"/>
            </w:tcBorders>
            <w:vAlign w:val="center"/>
          </w:tcPr>
          <w:p w14:paraId="0D4CD69B" w14:textId="00BAA5BF" w:rsidR="00424DD1" w:rsidRPr="00424DD1" w:rsidRDefault="00424DD1" w:rsidP="00424DD1">
            <w:pPr>
              <w:jc w:val="center"/>
              <w:rPr>
                <w:rFonts w:cs="Times New Roman"/>
                <w:sz w:val="18"/>
                <w:szCs w:val="18"/>
              </w:rPr>
            </w:pPr>
            <w:r w:rsidRPr="0099081C">
              <w:rPr>
                <w:rFonts w:cs="Times New Roman"/>
                <w:sz w:val="18"/>
                <w:szCs w:val="18"/>
              </w:rPr>
              <w:t>Reduced health gaps</w:t>
            </w:r>
          </w:p>
        </w:tc>
        <w:tc>
          <w:tcPr>
            <w:tcW w:w="2337" w:type="dxa"/>
            <w:tcBorders>
              <w:top w:val="single" w:sz="4" w:space="0" w:color="auto"/>
            </w:tcBorders>
            <w:vAlign w:val="center"/>
          </w:tcPr>
          <w:p w14:paraId="57D1A9FC" w14:textId="13753B06" w:rsidR="00424DD1" w:rsidRPr="00424DD1" w:rsidRDefault="00424DD1" w:rsidP="00424DD1">
            <w:pPr>
              <w:jc w:val="center"/>
              <w:rPr>
                <w:rFonts w:cs="Times New Roman"/>
                <w:sz w:val="18"/>
                <w:szCs w:val="18"/>
              </w:rPr>
            </w:pPr>
            <w:r w:rsidRPr="0099081C">
              <w:rPr>
                <w:rFonts w:cs="Times New Roman"/>
                <w:sz w:val="18"/>
                <w:szCs w:val="18"/>
              </w:rPr>
              <w:t>Significant in tailored programs</w:t>
            </w:r>
          </w:p>
        </w:tc>
      </w:tr>
      <w:tr w:rsidR="00424DD1" w14:paraId="7C5B1B2A" w14:textId="77777777" w:rsidTr="00424DD1">
        <w:tc>
          <w:tcPr>
            <w:tcW w:w="2336" w:type="dxa"/>
            <w:vAlign w:val="center"/>
          </w:tcPr>
          <w:p w14:paraId="56A4E550" w14:textId="13661639" w:rsidR="00424DD1" w:rsidRPr="00424DD1" w:rsidRDefault="00424DD1" w:rsidP="00424DD1">
            <w:pPr>
              <w:jc w:val="center"/>
              <w:rPr>
                <w:rFonts w:cs="Times New Roman"/>
                <w:sz w:val="18"/>
                <w:szCs w:val="18"/>
              </w:rPr>
            </w:pPr>
            <w:r w:rsidRPr="0099081C">
              <w:rPr>
                <w:rFonts w:cs="Times New Roman"/>
                <w:sz w:val="18"/>
                <w:szCs w:val="18"/>
              </w:rPr>
              <w:t>Cultural Adaptation in LMICs (2024–2025)</w:t>
            </w:r>
          </w:p>
        </w:tc>
        <w:tc>
          <w:tcPr>
            <w:tcW w:w="2336" w:type="dxa"/>
            <w:vAlign w:val="center"/>
          </w:tcPr>
          <w:p w14:paraId="0EFE19AA" w14:textId="4E6F3ACC" w:rsidR="00424DD1" w:rsidRPr="00424DD1" w:rsidRDefault="00424DD1" w:rsidP="00424DD1">
            <w:pPr>
              <w:jc w:val="center"/>
              <w:rPr>
                <w:rFonts w:cs="Times New Roman"/>
                <w:sz w:val="18"/>
                <w:szCs w:val="18"/>
              </w:rPr>
            </w:pPr>
            <w:r w:rsidRPr="0099081C">
              <w:rPr>
                <w:rFonts w:cs="Times New Roman"/>
                <w:sz w:val="18"/>
                <w:szCs w:val="18"/>
              </w:rPr>
              <w:t>Community co-design</w:t>
            </w:r>
          </w:p>
        </w:tc>
        <w:tc>
          <w:tcPr>
            <w:tcW w:w="2336" w:type="dxa"/>
            <w:vAlign w:val="center"/>
          </w:tcPr>
          <w:p w14:paraId="452B3BF1" w14:textId="1C2F7B24" w:rsidR="00424DD1" w:rsidRPr="00424DD1" w:rsidRDefault="00424DD1" w:rsidP="00424DD1">
            <w:pPr>
              <w:jc w:val="center"/>
              <w:rPr>
                <w:rFonts w:cs="Times New Roman"/>
                <w:sz w:val="18"/>
                <w:szCs w:val="18"/>
              </w:rPr>
            </w:pPr>
            <w:r w:rsidRPr="0099081C">
              <w:rPr>
                <w:rFonts w:cs="Times New Roman"/>
                <w:sz w:val="18"/>
                <w:szCs w:val="18"/>
              </w:rPr>
              <w:t>Enhanced engagement, outcomes</w:t>
            </w:r>
          </w:p>
        </w:tc>
        <w:tc>
          <w:tcPr>
            <w:tcW w:w="2337" w:type="dxa"/>
            <w:vAlign w:val="center"/>
          </w:tcPr>
          <w:p w14:paraId="26A75455" w14:textId="6493D9C2" w:rsidR="00424DD1" w:rsidRPr="00424DD1" w:rsidRDefault="00424DD1" w:rsidP="00424DD1">
            <w:pPr>
              <w:jc w:val="center"/>
              <w:rPr>
                <w:rFonts w:cs="Times New Roman"/>
                <w:sz w:val="18"/>
                <w:szCs w:val="18"/>
              </w:rPr>
            </w:pPr>
            <w:r w:rsidRPr="0099081C">
              <w:rPr>
                <w:rFonts w:cs="Times New Roman"/>
                <w:sz w:val="18"/>
                <w:szCs w:val="18"/>
              </w:rPr>
              <w:t>Effective and sustainable</w:t>
            </w:r>
          </w:p>
        </w:tc>
      </w:tr>
      <w:tr w:rsidR="00424DD1" w14:paraId="78C862C9" w14:textId="77777777" w:rsidTr="00424DD1">
        <w:tc>
          <w:tcPr>
            <w:tcW w:w="2336" w:type="dxa"/>
            <w:vAlign w:val="center"/>
          </w:tcPr>
          <w:p w14:paraId="4E2E15BD" w14:textId="1715E4D6" w:rsidR="00424DD1" w:rsidRPr="00424DD1" w:rsidRDefault="00424DD1" w:rsidP="00424DD1">
            <w:pPr>
              <w:jc w:val="center"/>
              <w:rPr>
                <w:rFonts w:cs="Times New Roman"/>
                <w:sz w:val="18"/>
                <w:szCs w:val="18"/>
              </w:rPr>
            </w:pPr>
            <w:r w:rsidRPr="0099081C">
              <w:rPr>
                <w:rFonts w:cs="Times New Roman"/>
                <w:sz w:val="18"/>
                <w:szCs w:val="18"/>
              </w:rPr>
              <w:t>Planetary Health Frameworks Scoping (2025)</w:t>
            </w:r>
          </w:p>
        </w:tc>
        <w:tc>
          <w:tcPr>
            <w:tcW w:w="2336" w:type="dxa"/>
            <w:vAlign w:val="center"/>
          </w:tcPr>
          <w:p w14:paraId="5904DAAF" w14:textId="3DF894CC" w:rsidR="00424DD1" w:rsidRPr="00424DD1" w:rsidRDefault="00424DD1" w:rsidP="00424DD1">
            <w:pPr>
              <w:jc w:val="center"/>
              <w:rPr>
                <w:rFonts w:cs="Times New Roman"/>
                <w:sz w:val="18"/>
                <w:szCs w:val="18"/>
              </w:rPr>
            </w:pPr>
            <w:r w:rsidRPr="0099081C">
              <w:rPr>
                <w:rFonts w:cs="Times New Roman"/>
                <w:sz w:val="18"/>
                <w:szCs w:val="18"/>
              </w:rPr>
              <w:t>Competencies and curricula</w:t>
            </w:r>
          </w:p>
        </w:tc>
        <w:tc>
          <w:tcPr>
            <w:tcW w:w="2336" w:type="dxa"/>
            <w:vAlign w:val="center"/>
          </w:tcPr>
          <w:p w14:paraId="2A46626A" w14:textId="047132A6" w:rsidR="00424DD1" w:rsidRPr="00424DD1" w:rsidRDefault="00424DD1" w:rsidP="00424DD1">
            <w:pPr>
              <w:jc w:val="center"/>
              <w:rPr>
                <w:rFonts w:cs="Times New Roman"/>
                <w:sz w:val="18"/>
                <w:szCs w:val="18"/>
              </w:rPr>
            </w:pPr>
            <w:r w:rsidRPr="0099081C">
              <w:rPr>
                <w:rFonts w:cs="Times New Roman"/>
                <w:sz w:val="18"/>
                <w:szCs w:val="18"/>
              </w:rPr>
              <w:t>Systems thinking, interconnection</w:t>
            </w:r>
          </w:p>
        </w:tc>
        <w:tc>
          <w:tcPr>
            <w:tcW w:w="2337" w:type="dxa"/>
            <w:vAlign w:val="center"/>
          </w:tcPr>
          <w:p w14:paraId="693A3321" w14:textId="05B0CA4C" w:rsidR="00424DD1" w:rsidRPr="00424DD1" w:rsidRDefault="00424DD1" w:rsidP="00424DD1">
            <w:pPr>
              <w:jc w:val="center"/>
              <w:rPr>
                <w:rFonts w:cs="Times New Roman"/>
                <w:sz w:val="18"/>
                <w:szCs w:val="18"/>
              </w:rPr>
            </w:pPr>
            <w:r w:rsidRPr="0099081C">
              <w:rPr>
                <w:rFonts w:cs="Times New Roman"/>
                <w:sz w:val="18"/>
                <w:szCs w:val="18"/>
              </w:rPr>
              <w:t>Emerging core elements</w:t>
            </w:r>
          </w:p>
        </w:tc>
      </w:tr>
      <w:tr w:rsidR="00424DD1" w14:paraId="39E2A53F" w14:textId="77777777" w:rsidTr="00424DD1">
        <w:tc>
          <w:tcPr>
            <w:tcW w:w="2336" w:type="dxa"/>
            <w:vAlign w:val="center"/>
          </w:tcPr>
          <w:p w14:paraId="6E002CAF" w14:textId="46EA301D" w:rsidR="00424DD1" w:rsidRPr="00424DD1" w:rsidRDefault="00424DD1" w:rsidP="00424DD1">
            <w:pPr>
              <w:jc w:val="center"/>
              <w:rPr>
                <w:rFonts w:cs="Times New Roman"/>
                <w:sz w:val="18"/>
                <w:szCs w:val="18"/>
              </w:rPr>
            </w:pPr>
            <w:r w:rsidRPr="0099081C">
              <w:rPr>
                <w:rFonts w:cs="Times New Roman"/>
                <w:sz w:val="18"/>
                <w:szCs w:val="18"/>
              </w:rPr>
              <w:t>Planetary Health Pilot Interventions (2025)</w:t>
            </w:r>
          </w:p>
        </w:tc>
        <w:tc>
          <w:tcPr>
            <w:tcW w:w="2336" w:type="dxa"/>
            <w:vAlign w:val="center"/>
          </w:tcPr>
          <w:p w14:paraId="17BF2A51" w14:textId="2144944A" w:rsidR="00424DD1" w:rsidRPr="00424DD1" w:rsidRDefault="00424DD1" w:rsidP="00424DD1">
            <w:pPr>
              <w:jc w:val="center"/>
              <w:rPr>
                <w:rFonts w:cs="Times New Roman"/>
                <w:sz w:val="18"/>
                <w:szCs w:val="18"/>
              </w:rPr>
            </w:pPr>
            <w:r w:rsidRPr="0099081C">
              <w:rPr>
                <w:rFonts w:cs="Times New Roman"/>
                <w:sz w:val="18"/>
                <w:szCs w:val="18"/>
              </w:rPr>
              <w:t>Eco-anxiety and behaviors</w:t>
            </w:r>
          </w:p>
        </w:tc>
        <w:tc>
          <w:tcPr>
            <w:tcW w:w="2336" w:type="dxa"/>
            <w:vAlign w:val="center"/>
          </w:tcPr>
          <w:p w14:paraId="1BC718E7" w14:textId="5EF9A6DC" w:rsidR="00424DD1" w:rsidRPr="00424DD1" w:rsidRDefault="00424DD1" w:rsidP="00424DD1">
            <w:pPr>
              <w:jc w:val="center"/>
              <w:rPr>
                <w:rFonts w:cs="Times New Roman"/>
                <w:sz w:val="18"/>
                <w:szCs w:val="18"/>
              </w:rPr>
            </w:pPr>
            <w:r w:rsidRPr="0099081C">
              <w:rPr>
                <w:rFonts w:cs="Times New Roman"/>
                <w:sz w:val="18"/>
                <w:szCs w:val="18"/>
              </w:rPr>
              <w:t>Improved awareness, reduced anxiety</w:t>
            </w:r>
          </w:p>
        </w:tc>
        <w:tc>
          <w:tcPr>
            <w:tcW w:w="2337" w:type="dxa"/>
            <w:vAlign w:val="center"/>
          </w:tcPr>
          <w:p w14:paraId="40132797" w14:textId="2A8326CE" w:rsidR="00424DD1" w:rsidRPr="00424DD1" w:rsidRDefault="00424DD1" w:rsidP="00424DD1">
            <w:pPr>
              <w:jc w:val="center"/>
              <w:rPr>
                <w:rFonts w:cs="Times New Roman"/>
                <w:sz w:val="18"/>
                <w:szCs w:val="18"/>
              </w:rPr>
            </w:pPr>
            <w:r w:rsidRPr="0099081C">
              <w:rPr>
                <w:rFonts w:cs="Times New Roman"/>
                <w:sz w:val="18"/>
                <w:szCs w:val="18"/>
              </w:rPr>
              <w:t>Promising effects</w:t>
            </w:r>
          </w:p>
        </w:tc>
      </w:tr>
      <w:tr w:rsidR="00424DD1" w14:paraId="105C7366" w14:textId="77777777" w:rsidTr="00424DD1">
        <w:tc>
          <w:tcPr>
            <w:tcW w:w="2336" w:type="dxa"/>
            <w:vAlign w:val="center"/>
          </w:tcPr>
          <w:p w14:paraId="332A21BD" w14:textId="45C3CD0C" w:rsidR="00424DD1" w:rsidRPr="00424DD1" w:rsidRDefault="00424DD1" w:rsidP="00424DD1">
            <w:pPr>
              <w:jc w:val="center"/>
              <w:rPr>
                <w:rFonts w:cs="Times New Roman"/>
                <w:sz w:val="18"/>
                <w:szCs w:val="18"/>
              </w:rPr>
            </w:pPr>
            <w:r w:rsidRPr="0099081C">
              <w:rPr>
                <w:rFonts w:cs="Times New Roman"/>
                <w:sz w:val="18"/>
                <w:szCs w:val="18"/>
              </w:rPr>
              <w:t>Implementation Barriers/Facilitators (2025)</w:t>
            </w:r>
          </w:p>
        </w:tc>
        <w:tc>
          <w:tcPr>
            <w:tcW w:w="2336" w:type="dxa"/>
            <w:vAlign w:val="center"/>
          </w:tcPr>
          <w:p w14:paraId="725D20CE" w14:textId="039E19A8" w:rsidR="00424DD1" w:rsidRPr="00424DD1" w:rsidRDefault="00424DD1" w:rsidP="00424DD1">
            <w:pPr>
              <w:jc w:val="center"/>
              <w:rPr>
                <w:rFonts w:cs="Times New Roman"/>
                <w:sz w:val="18"/>
                <w:szCs w:val="18"/>
              </w:rPr>
            </w:pPr>
            <w:r w:rsidRPr="0099081C">
              <w:rPr>
                <w:rFonts w:cs="Times New Roman"/>
                <w:sz w:val="18"/>
                <w:szCs w:val="18"/>
              </w:rPr>
              <w:t>Faculty and policy factors</w:t>
            </w:r>
          </w:p>
        </w:tc>
        <w:tc>
          <w:tcPr>
            <w:tcW w:w="2336" w:type="dxa"/>
            <w:vAlign w:val="center"/>
          </w:tcPr>
          <w:p w14:paraId="79C0742C" w14:textId="634B02C4" w:rsidR="00424DD1" w:rsidRPr="00424DD1" w:rsidRDefault="00424DD1" w:rsidP="00424DD1">
            <w:pPr>
              <w:jc w:val="center"/>
              <w:rPr>
                <w:rFonts w:cs="Times New Roman"/>
                <w:sz w:val="18"/>
                <w:szCs w:val="18"/>
              </w:rPr>
            </w:pPr>
            <w:r w:rsidRPr="0099081C">
              <w:rPr>
                <w:rFonts w:cs="Times New Roman"/>
                <w:sz w:val="18"/>
                <w:szCs w:val="18"/>
              </w:rPr>
              <w:t>Training as key facilitator</w:t>
            </w:r>
          </w:p>
        </w:tc>
        <w:tc>
          <w:tcPr>
            <w:tcW w:w="2337" w:type="dxa"/>
            <w:vAlign w:val="center"/>
          </w:tcPr>
          <w:p w14:paraId="6735A734" w14:textId="4FB61702" w:rsidR="00424DD1" w:rsidRPr="00424DD1" w:rsidRDefault="00424DD1" w:rsidP="00424DD1">
            <w:pPr>
              <w:jc w:val="center"/>
              <w:rPr>
                <w:rFonts w:cs="Times New Roman"/>
                <w:sz w:val="18"/>
                <w:szCs w:val="18"/>
              </w:rPr>
            </w:pPr>
            <w:r w:rsidRPr="0099081C">
              <w:rPr>
                <w:rFonts w:cs="Times New Roman"/>
                <w:sz w:val="18"/>
                <w:szCs w:val="18"/>
              </w:rPr>
              <w:t>Mixed but actionable</w:t>
            </w:r>
          </w:p>
        </w:tc>
      </w:tr>
      <w:tr w:rsidR="00424DD1" w14:paraId="0B1CED3F" w14:textId="77777777" w:rsidTr="00424DD1">
        <w:tc>
          <w:tcPr>
            <w:tcW w:w="2336" w:type="dxa"/>
            <w:vAlign w:val="center"/>
          </w:tcPr>
          <w:p w14:paraId="03817D49" w14:textId="6FC64E4B" w:rsidR="00424DD1" w:rsidRPr="00424DD1" w:rsidRDefault="00424DD1" w:rsidP="00424DD1">
            <w:pPr>
              <w:jc w:val="center"/>
              <w:rPr>
                <w:rFonts w:cs="Times New Roman"/>
                <w:sz w:val="18"/>
                <w:szCs w:val="18"/>
              </w:rPr>
            </w:pPr>
            <w:r w:rsidRPr="0099081C">
              <w:rPr>
                <w:rFonts w:cs="Times New Roman"/>
                <w:sz w:val="18"/>
                <w:szCs w:val="18"/>
              </w:rPr>
              <w:t>Planetary Health Education Framework (2025)</w:t>
            </w:r>
          </w:p>
        </w:tc>
        <w:tc>
          <w:tcPr>
            <w:tcW w:w="2336" w:type="dxa"/>
            <w:vAlign w:val="center"/>
          </w:tcPr>
          <w:p w14:paraId="19AFFE76" w14:textId="25B68D3B" w:rsidR="00424DD1" w:rsidRPr="00424DD1" w:rsidRDefault="00424DD1" w:rsidP="00424DD1">
            <w:pPr>
              <w:jc w:val="center"/>
              <w:rPr>
                <w:rFonts w:cs="Times New Roman"/>
                <w:sz w:val="18"/>
                <w:szCs w:val="18"/>
              </w:rPr>
            </w:pPr>
            <w:r w:rsidRPr="0099081C">
              <w:rPr>
                <w:rFonts w:cs="Times New Roman"/>
                <w:sz w:val="18"/>
                <w:szCs w:val="18"/>
              </w:rPr>
              <w:t>Integration guidance</w:t>
            </w:r>
          </w:p>
        </w:tc>
        <w:tc>
          <w:tcPr>
            <w:tcW w:w="2336" w:type="dxa"/>
            <w:vAlign w:val="center"/>
          </w:tcPr>
          <w:p w14:paraId="0FC1BD67" w14:textId="6754DF2E" w:rsidR="00424DD1" w:rsidRPr="00424DD1" w:rsidRDefault="00424DD1" w:rsidP="00424DD1">
            <w:pPr>
              <w:jc w:val="center"/>
              <w:rPr>
                <w:rFonts w:cs="Times New Roman"/>
                <w:sz w:val="18"/>
                <w:szCs w:val="18"/>
              </w:rPr>
            </w:pPr>
            <w:r w:rsidRPr="0099081C">
              <w:rPr>
                <w:rFonts w:cs="Times New Roman"/>
                <w:sz w:val="18"/>
                <w:szCs w:val="18"/>
              </w:rPr>
              <w:t>Practical tools for schools</w:t>
            </w:r>
          </w:p>
        </w:tc>
        <w:tc>
          <w:tcPr>
            <w:tcW w:w="2337" w:type="dxa"/>
            <w:vAlign w:val="center"/>
          </w:tcPr>
          <w:p w14:paraId="168BC54E" w14:textId="3E02E43E" w:rsidR="00424DD1" w:rsidRPr="00424DD1" w:rsidRDefault="00424DD1" w:rsidP="00424DD1">
            <w:pPr>
              <w:jc w:val="center"/>
              <w:rPr>
                <w:rFonts w:cs="Times New Roman"/>
                <w:sz w:val="18"/>
                <w:szCs w:val="18"/>
              </w:rPr>
            </w:pPr>
            <w:r w:rsidRPr="0099081C">
              <w:rPr>
                <w:rFonts w:cs="Times New Roman"/>
                <w:sz w:val="18"/>
                <w:szCs w:val="18"/>
              </w:rPr>
              <w:t>Comprehensive framework</w:t>
            </w:r>
          </w:p>
        </w:tc>
      </w:tr>
    </w:tbl>
    <w:p w14:paraId="4B6FF95A" w14:textId="77777777" w:rsidR="00424DD1" w:rsidRDefault="00424DD1" w:rsidP="00424DD1">
      <w:pPr>
        <w:spacing w:before="200" w:after="120"/>
        <w:rPr>
          <w:rFonts w:cs="Nazanin"/>
          <w:b/>
          <w:bCs/>
          <w:sz w:val="22"/>
          <w:szCs w:val="22"/>
          <w:lang w:bidi="fa-IR"/>
        </w:rPr>
      </w:pPr>
      <w:r w:rsidRPr="00424DD1">
        <w:rPr>
          <w:rFonts w:cs="Nazanin"/>
          <w:b/>
          <w:bCs/>
          <w:sz w:val="22"/>
          <w:szCs w:val="22"/>
          <w:lang w:bidi="fa-IR"/>
        </w:rPr>
        <w:t>7. Conclusion</w:t>
      </w:r>
    </w:p>
    <w:p w14:paraId="13399CDB" w14:textId="77777777" w:rsidR="00424DD1" w:rsidRDefault="00424DD1" w:rsidP="00424DD1">
      <w:pPr>
        <w:spacing w:before="200" w:after="120"/>
        <w:jc w:val="both"/>
        <w:rPr>
          <w:rFonts w:cs="Times New Roman"/>
        </w:rPr>
      </w:pPr>
      <w:r w:rsidRPr="00424DD1">
        <w:rPr>
          <w:rFonts w:cs="Times New Roman"/>
        </w:rPr>
        <w:t xml:space="preserve">The period from 2023 to 2025 has marked a transformative phase in school health education research, characterized by rapid innovation and heightened responsiveness to contemporary adolescent health challenges. This review has synthesized advances across key domains, revealing a convergent trend toward comprehensive, multicomponent, and technology-integrated approaches grounded in the Health Promoting Schools (HPS) framework. The post-COVID-19 era has catalyzed unprecedented attention to mental health literacy, resilience building, digital well-being, physical activity promotion, comprehensive sexuality education (CSE), and emerging intersections with </w:t>
      </w:r>
    </w:p>
    <w:p w14:paraId="425245B5" w14:textId="77777777" w:rsidR="00424DD1" w:rsidRDefault="00424DD1" w:rsidP="00424DD1">
      <w:pPr>
        <w:spacing w:before="200" w:after="120"/>
        <w:rPr>
          <w:rFonts w:cs="Times New Roman"/>
        </w:rPr>
      </w:pPr>
    </w:p>
    <w:p w14:paraId="46A09C4E" w14:textId="1A994816" w:rsidR="00D02C52" w:rsidRPr="00D02C52" w:rsidRDefault="00424DD1" w:rsidP="00D02C52">
      <w:pPr>
        <w:spacing w:before="200" w:after="120"/>
        <w:jc w:val="both"/>
        <w:rPr>
          <w:rFonts w:cs="Nazanin"/>
          <w:b/>
          <w:bCs/>
          <w:sz w:val="22"/>
          <w:szCs w:val="22"/>
          <w:lang w:bidi="fa-IR"/>
        </w:rPr>
      </w:pPr>
      <w:r w:rsidRPr="00424DD1">
        <w:rPr>
          <w:rFonts w:cs="Times New Roman"/>
        </w:rPr>
        <w:t>planetary health and equity considerations. Collectively, these developments affirm school health education's pivotal role as a scalable, cost-effective public health strategy capable of reaching nearly all youth and fostering lifelong healthy behaviors [67].</w:t>
      </w:r>
      <w:r w:rsidRPr="00424DD1">
        <w:rPr>
          <w:rFonts w:cs="Times New Roman" w:hint="cs"/>
          <w:rtl/>
        </w:rPr>
        <w:t xml:space="preserve"> </w:t>
      </w:r>
      <w:r w:rsidRPr="00424DD1">
        <w:rPr>
          <w:rFonts w:cs="Times New Roman"/>
        </w:rPr>
        <w:t>Key advancements underscore the efficacy of whole-school models that extend beyond classroom instruction to encompass policy changes, environmental supports, community partnerships, and staff well-being. Progress in mental health, physical health promotion, and CSE highlights the potential of hybrid and digital tools to address lifestyle risks, reduce stigma, and promote inclusivity amid rising screen time, sedentary behaviors, and sexual health concerns. Equity and cultural adaptation have emerged as cross-cutting priorities, with tailored interventions proving essential for closing disparities among underserved populations. The integration of planetary health education represents a forward-thinking shift, linking personal well-being to environmental sustainability and equipping students to navigate climate anxiety and ecological threats.</w:t>
      </w:r>
      <w:r w:rsidRPr="00424DD1">
        <w:rPr>
          <w:rFonts w:cs="Times New Roman" w:hint="cs"/>
          <w:rtl/>
        </w:rPr>
        <w:t xml:space="preserve"> </w:t>
      </w:r>
      <w:r w:rsidRPr="00424DD1">
        <w:rPr>
          <w:rFonts w:cs="Times New Roman"/>
        </w:rPr>
        <w:t>Despite these strides, gaps remain: evidence is still concentrated in high-income settings, with insufficient representation of global south perspectives and intersectional analyses. Rapid societal changes demand adaptive, low-cost solutions that prioritize sustainability and scalability. Moreover, while digital tools offer promise, issues of access equity and data privacy require ongoing attention [68].</w:t>
      </w:r>
      <w:r w:rsidRPr="00424DD1">
        <w:rPr>
          <w:rFonts w:cs="Times New Roman" w:hint="cs"/>
          <w:rtl/>
        </w:rPr>
        <w:t xml:space="preserve"> </w:t>
      </w:r>
      <w:r w:rsidRPr="00424DD1">
        <w:rPr>
          <w:rFonts w:cs="Times New Roman"/>
        </w:rPr>
        <w:t>Looking ahead, sustained investment is imperative to maximize impact. Recommendations include mandating teacher professional development in trauma-informed and culturally responsive practices, embedding youth participation in program design, and leveraging emerging technologies for personalized learning. Policy support should prioritize integration of mental health literacy, CSE, and planetary health into national curricula, alongside robust fidelity monitoring and multicomponent designs within HPS frameworks. Future research directions must emphasize longitudinal studies, participatory methods that amplify adolescent voices, and greater focus on low-resource adaptations to enhance equity amid ongoing threats like social media influences and climate anxiety [69].</w:t>
      </w:r>
      <w:r w:rsidRPr="00424DD1">
        <w:rPr>
          <w:rFonts w:cs="Times New Roman" w:hint="cs"/>
          <w:rtl/>
        </w:rPr>
        <w:t xml:space="preserve"> </w:t>
      </w:r>
      <w:r w:rsidRPr="00424DD1">
        <w:rPr>
          <w:rFonts w:cs="Times New Roman"/>
        </w:rPr>
        <w:t>In conclusion, the 2023–2025 research landscape reaffirms school health education's transformative potential to promote holistic student well-being, prevent noncommunicable diseases, and contribute to sustainable development goals. By addressing evolving challenges through innovative, inclusive, and evidence-informed strategies, schools can serve as beacons of health promotion in an increasingly complex world. Realizing this vision requires concerted action from policymakers, educators, researchers, and communities to ensure every school becomes a truly health-promoting environment [70].</w:t>
      </w:r>
    </w:p>
    <w:p w14:paraId="7C1F85A0" w14:textId="77777777" w:rsidR="000B200C" w:rsidRDefault="000B200C" w:rsidP="000B200C">
      <w:pPr>
        <w:spacing w:line="230" w:lineRule="auto"/>
        <w:jc w:val="both"/>
      </w:pPr>
      <w:r>
        <w:rPr>
          <w:b/>
          <w:bCs/>
        </w:rPr>
        <w:t>References</w:t>
      </w:r>
      <w: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9"/>
        <w:gridCol w:w="8946"/>
      </w:tblGrid>
      <w:tr w:rsidR="00D02C52" w14:paraId="212D08B9" w14:textId="77777777" w:rsidTr="00D02C52">
        <w:trPr>
          <w:tblCellSpacing w:w="15" w:type="dxa"/>
        </w:trPr>
        <w:tc>
          <w:tcPr>
            <w:tcW w:w="0" w:type="auto"/>
            <w:vAlign w:val="center"/>
            <w:hideMark/>
          </w:tcPr>
          <w:p w14:paraId="076D4273" w14:textId="77777777" w:rsidR="00D02C52" w:rsidRDefault="00D02C52">
            <w:r>
              <w:t>[1]</w:t>
            </w:r>
          </w:p>
        </w:tc>
        <w:tc>
          <w:tcPr>
            <w:tcW w:w="0" w:type="auto"/>
            <w:vAlign w:val="center"/>
            <w:hideMark/>
          </w:tcPr>
          <w:p w14:paraId="059ADD6B" w14:textId="77777777" w:rsidR="00D02C52" w:rsidRDefault="00D02C52">
            <w:r>
              <w:t xml:space="preserve">World Health Organization. (2024). Making every school a health-promoting school: Implementation guidance. </w:t>
            </w:r>
            <w:hyperlink r:id="rId8" w:history="1">
              <w:r w:rsidRPr="00D02C52">
                <w:t>https://www.who.int/publications/i/item/9789240093737</w:t>
              </w:r>
            </w:hyperlink>
          </w:p>
        </w:tc>
      </w:tr>
      <w:tr w:rsidR="00D02C52" w14:paraId="5100F776" w14:textId="77777777" w:rsidTr="00D02C52">
        <w:trPr>
          <w:tblCellSpacing w:w="15" w:type="dxa"/>
        </w:trPr>
        <w:tc>
          <w:tcPr>
            <w:tcW w:w="0" w:type="auto"/>
            <w:vAlign w:val="center"/>
            <w:hideMark/>
          </w:tcPr>
          <w:p w14:paraId="57B4532F" w14:textId="77777777" w:rsidR="00D02C52" w:rsidRDefault="00D02C52">
            <w:r>
              <w:t>[2]</w:t>
            </w:r>
          </w:p>
        </w:tc>
        <w:tc>
          <w:tcPr>
            <w:tcW w:w="0" w:type="auto"/>
            <w:vAlign w:val="center"/>
            <w:hideMark/>
          </w:tcPr>
          <w:p w14:paraId="3BE811D5" w14:textId="77777777" w:rsidR="00D02C52" w:rsidRDefault="00D02C52">
            <w:r>
              <w:t xml:space="preserve">World Health Organization. (n.d.). Health promoting schools. </w:t>
            </w:r>
            <w:hyperlink r:id="rId9" w:history="1">
              <w:r w:rsidRPr="00D02C52">
                <w:t>https://www.who.int/health-topics/health-promoting-schools</w:t>
              </w:r>
            </w:hyperlink>
          </w:p>
        </w:tc>
      </w:tr>
      <w:tr w:rsidR="00D02C52" w14:paraId="5373A4E3" w14:textId="77777777" w:rsidTr="00D02C52">
        <w:trPr>
          <w:tblCellSpacing w:w="15" w:type="dxa"/>
        </w:trPr>
        <w:tc>
          <w:tcPr>
            <w:tcW w:w="0" w:type="auto"/>
            <w:vAlign w:val="center"/>
            <w:hideMark/>
          </w:tcPr>
          <w:p w14:paraId="2D2256F7" w14:textId="77777777" w:rsidR="00D02C52" w:rsidRDefault="00D02C52">
            <w:r>
              <w:t>[3]</w:t>
            </w:r>
          </w:p>
        </w:tc>
        <w:tc>
          <w:tcPr>
            <w:tcW w:w="0" w:type="auto"/>
            <w:vAlign w:val="center"/>
            <w:hideMark/>
          </w:tcPr>
          <w:p w14:paraId="196F0731" w14:textId="77777777" w:rsidR="00D02C52" w:rsidRDefault="00D02C52">
            <w:r>
              <w:t xml:space="preserve">World Health Organization. (2024). Making every school a health-promoting school: Global standards and indicators. </w:t>
            </w:r>
            <w:hyperlink r:id="rId10" w:history="1">
              <w:r w:rsidRPr="00D02C52">
                <w:t>https://www.who.int/initiatives/making-every-school-a-health-promoting-school</w:t>
              </w:r>
            </w:hyperlink>
          </w:p>
        </w:tc>
      </w:tr>
      <w:tr w:rsidR="00D02C52" w14:paraId="787CBA86" w14:textId="77777777" w:rsidTr="00D02C52">
        <w:trPr>
          <w:tblCellSpacing w:w="15" w:type="dxa"/>
        </w:trPr>
        <w:tc>
          <w:tcPr>
            <w:tcW w:w="0" w:type="auto"/>
            <w:vAlign w:val="center"/>
            <w:hideMark/>
          </w:tcPr>
          <w:p w14:paraId="16897A40" w14:textId="77777777" w:rsidR="00D02C52" w:rsidRDefault="00D02C52">
            <w:r>
              <w:t>[4]</w:t>
            </w:r>
          </w:p>
        </w:tc>
        <w:tc>
          <w:tcPr>
            <w:tcW w:w="0" w:type="auto"/>
            <w:vAlign w:val="center"/>
            <w:hideMark/>
          </w:tcPr>
          <w:p w14:paraId="33239E4D" w14:textId="77777777" w:rsidR="00D02C52" w:rsidRDefault="00D02C52">
            <w:r>
              <w:t xml:space="preserve">World Health Organization. (2025). Strengthening Health Promoting Schools in the Western Pacific Region. </w:t>
            </w:r>
            <w:hyperlink r:id="rId11" w:history="1">
              <w:r w:rsidRPr="00D02C52">
                <w:t>https://www.who.int/westernpacific/newsroom/feature-stories/item/strengthening-health-promoting-schools-in-the-western-pacific-region</w:t>
              </w:r>
            </w:hyperlink>
          </w:p>
        </w:tc>
      </w:tr>
      <w:tr w:rsidR="00D02C52" w14:paraId="23ED830B" w14:textId="77777777" w:rsidTr="00D02C52">
        <w:trPr>
          <w:tblCellSpacing w:w="15" w:type="dxa"/>
        </w:trPr>
        <w:tc>
          <w:tcPr>
            <w:tcW w:w="0" w:type="auto"/>
            <w:vAlign w:val="center"/>
            <w:hideMark/>
          </w:tcPr>
          <w:p w14:paraId="640C9C9D" w14:textId="77777777" w:rsidR="00D02C52" w:rsidRDefault="00D02C52">
            <w:r>
              <w:t>[5]</w:t>
            </w:r>
          </w:p>
        </w:tc>
        <w:tc>
          <w:tcPr>
            <w:tcW w:w="0" w:type="auto"/>
            <w:vAlign w:val="center"/>
            <w:hideMark/>
          </w:tcPr>
          <w:p w14:paraId="52E12FA4" w14:textId="77777777" w:rsidR="00D02C52" w:rsidRDefault="00D02C52">
            <w:r>
              <w:t xml:space="preserve">World Health Organization &amp; UNESCO. (2021). Global standards for health-promoting schools. </w:t>
            </w:r>
            <w:hyperlink r:id="rId12" w:history="1">
              <w:r w:rsidRPr="00D02C52">
                <w:t>https://www.who.int/teams/health-promotion/enhanced-wellbeing/health-promoting-schools</w:t>
              </w:r>
            </w:hyperlink>
          </w:p>
        </w:tc>
      </w:tr>
      <w:tr w:rsidR="00D02C52" w14:paraId="65C44CC9" w14:textId="77777777" w:rsidTr="00D02C52">
        <w:trPr>
          <w:tblCellSpacing w:w="15" w:type="dxa"/>
        </w:trPr>
        <w:tc>
          <w:tcPr>
            <w:tcW w:w="0" w:type="auto"/>
            <w:vAlign w:val="center"/>
            <w:hideMark/>
          </w:tcPr>
          <w:p w14:paraId="69C8F604" w14:textId="77777777" w:rsidR="00D02C52" w:rsidRDefault="00D02C52">
            <w:r>
              <w:t>[6]</w:t>
            </w:r>
          </w:p>
        </w:tc>
        <w:tc>
          <w:tcPr>
            <w:tcW w:w="0" w:type="auto"/>
            <w:vAlign w:val="center"/>
            <w:hideMark/>
          </w:tcPr>
          <w:p w14:paraId="5D92DA0F" w14:textId="77777777" w:rsidR="00D02C52" w:rsidRDefault="00D02C52">
            <w:r>
              <w:t xml:space="preserve">World Health Organization. (2024). Investing in school health. </w:t>
            </w:r>
            <w:hyperlink r:id="rId13" w:history="1">
              <w:r w:rsidRPr="00D02C52">
                <w:t>https://www.who.int/activities/investing-in-school-health</w:t>
              </w:r>
            </w:hyperlink>
          </w:p>
        </w:tc>
      </w:tr>
      <w:tr w:rsidR="00D02C52" w14:paraId="75C8C819" w14:textId="77777777" w:rsidTr="00D02C52">
        <w:trPr>
          <w:tblCellSpacing w:w="15" w:type="dxa"/>
        </w:trPr>
        <w:tc>
          <w:tcPr>
            <w:tcW w:w="0" w:type="auto"/>
            <w:vAlign w:val="center"/>
            <w:hideMark/>
          </w:tcPr>
          <w:p w14:paraId="36C2A4F8" w14:textId="77777777" w:rsidR="00D02C52" w:rsidRDefault="00D02C52">
            <w:r>
              <w:t>[7]</w:t>
            </w:r>
          </w:p>
        </w:tc>
        <w:tc>
          <w:tcPr>
            <w:tcW w:w="0" w:type="auto"/>
            <w:vAlign w:val="center"/>
            <w:hideMark/>
          </w:tcPr>
          <w:p w14:paraId="643F91C9" w14:textId="77777777" w:rsidR="00D02C52" w:rsidRDefault="00D02C52">
            <w:r>
              <w:t xml:space="preserve">Li, Y., et al. (2025). School-based interventions for resilience in children and adolescents: A systematic review and meta-analysis. Frontiers in Psychiatry, 16, Article 1594658. </w:t>
            </w:r>
            <w:hyperlink r:id="rId14" w:history="1">
              <w:r w:rsidRPr="00D02C52">
                <w:t>https://doi.org/10.3389/fpsyt.2025.1594658</w:t>
              </w:r>
            </w:hyperlink>
          </w:p>
        </w:tc>
      </w:tr>
      <w:tr w:rsidR="00D02C52" w14:paraId="4C3E656E" w14:textId="77777777" w:rsidTr="00D02C52">
        <w:trPr>
          <w:tblCellSpacing w:w="15" w:type="dxa"/>
        </w:trPr>
        <w:tc>
          <w:tcPr>
            <w:tcW w:w="0" w:type="auto"/>
            <w:vAlign w:val="center"/>
            <w:hideMark/>
          </w:tcPr>
          <w:p w14:paraId="32B15F7E" w14:textId="77777777" w:rsidR="00D02C52" w:rsidRDefault="00D02C52">
            <w:r>
              <w:t>[8]</w:t>
            </w:r>
          </w:p>
        </w:tc>
        <w:tc>
          <w:tcPr>
            <w:tcW w:w="0" w:type="auto"/>
            <w:vAlign w:val="center"/>
            <w:hideMark/>
          </w:tcPr>
          <w:p w14:paraId="59A93AB7" w14:textId="77777777" w:rsidR="00D02C52" w:rsidRDefault="00D02C52">
            <w:r>
              <w:t xml:space="preserve">Li, Y., et al. (2025). School-based interventions for resilience in children and adolescents. PubMed Central. </w:t>
            </w:r>
            <w:hyperlink r:id="rId15" w:history="1">
              <w:r w:rsidRPr="00D02C52">
                <w:t>https://pmc.ncbi.nlm.nih.gov/articles/PMC12127306/</w:t>
              </w:r>
            </w:hyperlink>
          </w:p>
        </w:tc>
      </w:tr>
      <w:tr w:rsidR="00D02C52" w14:paraId="6D25D8AF" w14:textId="77777777" w:rsidTr="00D02C52">
        <w:trPr>
          <w:tblCellSpacing w:w="15" w:type="dxa"/>
        </w:trPr>
        <w:tc>
          <w:tcPr>
            <w:tcW w:w="0" w:type="auto"/>
            <w:vAlign w:val="center"/>
            <w:hideMark/>
          </w:tcPr>
          <w:p w14:paraId="10C61CD5" w14:textId="77777777" w:rsidR="00D02C52" w:rsidRDefault="00D02C52">
            <w:r>
              <w:t>[9]</w:t>
            </w:r>
          </w:p>
        </w:tc>
        <w:tc>
          <w:tcPr>
            <w:tcW w:w="0" w:type="auto"/>
            <w:vAlign w:val="center"/>
            <w:hideMark/>
          </w:tcPr>
          <w:p w14:paraId="1B4CD220" w14:textId="77777777" w:rsidR="00D02C52" w:rsidRDefault="00D02C52">
            <w:r>
              <w:t xml:space="preserve">García-Carrión, R., et al. (2025). Effectiveness of mental health literacy interventions for adolescents: A meta-analysis. SAGE Open, 15(1). </w:t>
            </w:r>
            <w:hyperlink r:id="rId16" w:history="1">
              <w:r w:rsidRPr="00D02C52">
                <w:t>https://doi.org/10.1177/21582440251327445</w:t>
              </w:r>
            </w:hyperlink>
          </w:p>
        </w:tc>
      </w:tr>
      <w:tr w:rsidR="00D02C52" w14:paraId="237B6307" w14:textId="77777777" w:rsidTr="00D02C52">
        <w:trPr>
          <w:tblCellSpacing w:w="15" w:type="dxa"/>
        </w:trPr>
        <w:tc>
          <w:tcPr>
            <w:tcW w:w="0" w:type="auto"/>
            <w:vAlign w:val="center"/>
            <w:hideMark/>
          </w:tcPr>
          <w:p w14:paraId="5FF6A137" w14:textId="77777777" w:rsidR="00D02C52" w:rsidRDefault="00D02C52">
            <w:r>
              <w:t>[10]</w:t>
            </w:r>
          </w:p>
        </w:tc>
        <w:tc>
          <w:tcPr>
            <w:tcW w:w="0" w:type="auto"/>
            <w:vAlign w:val="center"/>
            <w:hideMark/>
          </w:tcPr>
          <w:p w14:paraId="1393ADB3" w14:textId="77777777" w:rsidR="00D02C52" w:rsidRDefault="00D02C52">
            <w:r>
              <w:t xml:space="preserve">Wu, Y., et al. (2024). Evaluating the effectiveness of a school-based mental health literacy program. Scientific Reports, 14, Article 56682. </w:t>
            </w:r>
            <w:hyperlink r:id="rId17" w:history="1">
              <w:r w:rsidRPr="00D02C52">
                <w:t>https://doi.org/10.1038/s41598-024-56682-2</w:t>
              </w:r>
            </w:hyperlink>
          </w:p>
        </w:tc>
      </w:tr>
      <w:tr w:rsidR="00D02C52" w14:paraId="48889AA6" w14:textId="77777777" w:rsidTr="00D02C52">
        <w:trPr>
          <w:tblCellSpacing w:w="15" w:type="dxa"/>
        </w:trPr>
        <w:tc>
          <w:tcPr>
            <w:tcW w:w="0" w:type="auto"/>
            <w:vAlign w:val="center"/>
            <w:hideMark/>
          </w:tcPr>
          <w:p w14:paraId="4F92C375" w14:textId="77777777" w:rsidR="00D02C52" w:rsidRDefault="00D02C52">
            <w:r>
              <w:t>[11]</w:t>
            </w:r>
          </w:p>
        </w:tc>
        <w:tc>
          <w:tcPr>
            <w:tcW w:w="0" w:type="auto"/>
            <w:vAlign w:val="center"/>
            <w:hideMark/>
          </w:tcPr>
          <w:p w14:paraId="4C613705" w14:textId="77777777" w:rsidR="00D02C52" w:rsidRDefault="00D02C52">
            <w:r>
              <w:t xml:space="preserve">Dix, K. L., et al. (2024). Mental health literacy and school behavioral health: A systematic review. American Journal of Health Education. </w:t>
            </w:r>
            <w:hyperlink r:id="rId18" w:history="1">
              <w:r w:rsidRPr="00D02C52">
                <w:t>https://doi.org/10.1080/19325037.2024.2422073</w:t>
              </w:r>
            </w:hyperlink>
          </w:p>
        </w:tc>
      </w:tr>
      <w:tr w:rsidR="00D02C52" w14:paraId="634C731A" w14:textId="77777777" w:rsidTr="00D02C52">
        <w:trPr>
          <w:tblCellSpacing w:w="15" w:type="dxa"/>
        </w:trPr>
        <w:tc>
          <w:tcPr>
            <w:tcW w:w="0" w:type="auto"/>
            <w:vAlign w:val="center"/>
            <w:hideMark/>
          </w:tcPr>
          <w:p w14:paraId="3BA1B85C" w14:textId="77777777" w:rsidR="00D02C52" w:rsidRDefault="00D02C52">
            <w:r>
              <w:t>[12]</w:t>
            </w:r>
          </w:p>
        </w:tc>
        <w:tc>
          <w:tcPr>
            <w:tcW w:w="0" w:type="auto"/>
            <w:vAlign w:val="center"/>
            <w:hideMark/>
          </w:tcPr>
          <w:p w14:paraId="462A6408" w14:textId="77777777" w:rsidR="00D02C52" w:rsidRDefault="00D02C52">
            <w:r>
              <w:t xml:space="preserve">Fenwick-Smith, A., et al. (2025). Systematic review and meta-analysis of whole-school interventions promoting mental health. Journal of Youth and Adolescence. </w:t>
            </w:r>
            <w:hyperlink r:id="rId19" w:history="1">
              <w:r w:rsidRPr="00D02C52">
                <w:t>https://doi.org/10.1007/s10964-025-02135-6</w:t>
              </w:r>
            </w:hyperlink>
          </w:p>
        </w:tc>
      </w:tr>
      <w:tr w:rsidR="00D02C52" w14:paraId="4BB61902" w14:textId="77777777" w:rsidTr="00D02C52">
        <w:trPr>
          <w:tblCellSpacing w:w="15" w:type="dxa"/>
        </w:trPr>
        <w:tc>
          <w:tcPr>
            <w:tcW w:w="0" w:type="auto"/>
            <w:vAlign w:val="center"/>
            <w:hideMark/>
          </w:tcPr>
          <w:p w14:paraId="06E89161" w14:textId="77777777" w:rsidR="00D02C52" w:rsidRDefault="00D02C52">
            <w:r>
              <w:t>[13]</w:t>
            </w:r>
          </w:p>
        </w:tc>
        <w:tc>
          <w:tcPr>
            <w:tcW w:w="0" w:type="auto"/>
            <w:vAlign w:val="center"/>
            <w:hideMark/>
          </w:tcPr>
          <w:p w14:paraId="231DDD0E" w14:textId="77777777" w:rsidR="00D02C52" w:rsidRDefault="00D02C52">
            <w:r>
              <w:t xml:space="preserve">Ng, S. H., et al. (2024). The effects of universal educational interventions in improving mental health literacy. International Journal of Mental Health Nursing. </w:t>
            </w:r>
            <w:hyperlink r:id="rId20" w:history="1">
              <w:r w:rsidRPr="00D02C52">
                <w:t>https://doi.org/10.1111/inm.13494</w:t>
              </w:r>
            </w:hyperlink>
          </w:p>
        </w:tc>
      </w:tr>
      <w:tr w:rsidR="00D02C52" w14:paraId="2EFA90BE" w14:textId="77777777" w:rsidTr="00D02C52">
        <w:trPr>
          <w:tblCellSpacing w:w="15" w:type="dxa"/>
        </w:trPr>
        <w:tc>
          <w:tcPr>
            <w:tcW w:w="0" w:type="auto"/>
            <w:vAlign w:val="center"/>
            <w:hideMark/>
          </w:tcPr>
          <w:p w14:paraId="23EA410A" w14:textId="77777777" w:rsidR="00D02C52" w:rsidRDefault="00D02C52">
            <w:r>
              <w:t>[14]</w:t>
            </w:r>
          </w:p>
        </w:tc>
        <w:tc>
          <w:tcPr>
            <w:tcW w:w="0" w:type="auto"/>
            <w:vAlign w:val="center"/>
            <w:hideMark/>
          </w:tcPr>
          <w:p w14:paraId="6CCDD1E8" w14:textId="77777777" w:rsidR="00D02C52" w:rsidRDefault="00D02C52">
            <w:r>
              <w:t xml:space="preserve">Champion, K. E., et al. (2025). The OurFutures Vaping eHealth intervention to prevent e-cigarette use among adolescents. The Lancet Public Health, 10(5). </w:t>
            </w:r>
            <w:hyperlink r:id="rId21" w:history="1">
              <w:r w:rsidRPr="00D02C52">
                <w:t>https://doi.org/10.1016/S2468-2667(25)00145-8</w:t>
              </w:r>
            </w:hyperlink>
          </w:p>
        </w:tc>
      </w:tr>
      <w:tr w:rsidR="00D02C52" w14:paraId="70377E31" w14:textId="77777777" w:rsidTr="00D02C52">
        <w:trPr>
          <w:tblCellSpacing w:w="15" w:type="dxa"/>
        </w:trPr>
        <w:tc>
          <w:tcPr>
            <w:tcW w:w="0" w:type="auto"/>
            <w:vAlign w:val="center"/>
            <w:hideMark/>
          </w:tcPr>
          <w:p w14:paraId="5D8F8C62" w14:textId="77777777" w:rsidR="00D02C52" w:rsidRDefault="00D02C52">
            <w:r>
              <w:t>[15]</w:t>
            </w:r>
          </w:p>
        </w:tc>
        <w:tc>
          <w:tcPr>
            <w:tcW w:w="0" w:type="auto"/>
            <w:vAlign w:val="center"/>
            <w:hideMark/>
          </w:tcPr>
          <w:p w14:paraId="670970C1" w14:textId="77777777" w:rsidR="00D02C52" w:rsidRDefault="00D02C52">
            <w:r>
              <w:t xml:space="preserve">Champion, K. E., et al. (2025). Co-design of the 'OurFutures Vaping' programme: A school-based eHealth intervention. Health Promotion International, 40(3). </w:t>
            </w:r>
            <w:hyperlink r:id="rId22" w:history="1">
              <w:r w:rsidRPr="00D02C52">
                <w:t>https://doi.org/10.1093/heapro/daaf085</w:t>
              </w:r>
            </w:hyperlink>
          </w:p>
        </w:tc>
      </w:tr>
      <w:tr w:rsidR="00D02C52" w14:paraId="6E4F9FAB" w14:textId="77777777" w:rsidTr="00D02C52">
        <w:trPr>
          <w:tblCellSpacing w:w="15" w:type="dxa"/>
        </w:trPr>
        <w:tc>
          <w:tcPr>
            <w:tcW w:w="0" w:type="auto"/>
            <w:vAlign w:val="center"/>
            <w:hideMark/>
          </w:tcPr>
          <w:p w14:paraId="1BF11517" w14:textId="77777777" w:rsidR="00D02C52" w:rsidRDefault="00D02C52">
            <w:r>
              <w:t>[16]</w:t>
            </w:r>
          </w:p>
        </w:tc>
        <w:tc>
          <w:tcPr>
            <w:tcW w:w="0" w:type="auto"/>
            <w:vAlign w:val="center"/>
            <w:hideMark/>
          </w:tcPr>
          <w:p w14:paraId="0AC2CD6E" w14:textId="77777777" w:rsidR="00D02C52" w:rsidRDefault="00D02C52">
            <w:r>
              <w:t xml:space="preserve">Liu, J., et al. (2025). Digital interventions in tobacco prevention for school-aged children: A systematic review. Public Health, 238, 245–258. </w:t>
            </w:r>
            <w:hyperlink r:id="rId23" w:history="1">
              <w:r w:rsidRPr="00D02C52">
                <w:t>https://doi.org/10.1016/j.puhe.2025.2458</w:t>
              </w:r>
            </w:hyperlink>
          </w:p>
        </w:tc>
      </w:tr>
      <w:tr w:rsidR="00D02C52" w14:paraId="4BC53E02" w14:textId="77777777" w:rsidTr="00D02C52">
        <w:trPr>
          <w:tblCellSpacing w:w="15" w:type="dxa"/>
        </w:trPr>
        <w:tc>
          <w:tcPr>
            <w:tcW w:w="0" w:type="auto"/>
            <w:vAlign w:val="center"/>
            <w:hideMark/>
          </w:tcPr>
          <w:p w14:paraId="7FAD517D" w14:textId="77777777" w:rsidR="00D02C52" w:rsidRDefault="00D02C52">
            <w:r>
              <w:t>[17]</w:t>
            </w:r>
          </w:p>
        </w:tc>
        <w:tc>
          <w:tcPr>
            <w:tcW w:w="0" w:type="auto"/>
            <w:vAlign w:val="center"/>
            <w:hideMark/>
          </w:tcPr>
          <w:p w14:paraId="371C17AE" w14:textId="77777777" w:rsidR="00D02C52" w:rsidRDefault="00D02C52">
            <w:r>
              <w:t xml:space="preserve">Centers for Disease Control and Prevention. (2024). Evidence-based strategies for school nutrition and physical activity. </w:t>
            </w:r>
            <w:hyperlink r:id="rId24" w:history="1">
              <w:r w:rsidRPr="00D02C52">
                <w:t>https://www.cdc.gov/assessing-improving-school-health/nutrition-pa/index.html</w:t>
              </w:r>
            </w:hyperlink>
          </w:p>
        </w:tc>
      </w:tr>
      <w:tr w:rsidR="00D02C52" w14:paraId="3616D0AF" w14:textId="77777777" w:rsidTr="00D02C52">
        <w:trPr>
          <w:tblCellSpacing w:w="15" w:type="dxa"/>
        </w:trPr>
        <w:tc>
          <w:tcPr>
            <w:tcW w:w="0" w:type="auto"/>
            <w:vAlign w:val="center"/>
            <w:hideMark/>
          </w:tcPr>
          <w:p w14:paraId="68E8BDB9" w14:textId="77777777" w:rsidR="00D02C52" w:rsidRDefault="00D02C52">
            <w:r>
              <w:t>[18]</w:t>
            </w:r>
          </w:p>
        </w:tc>
        <w:tc>
          <w:tcPr>
            <w:tcW w:w="0" w:type="auto"/>
            <w:vAlign w:val="center"/>
            <w:hideMark/>
          </w:tcPr>
          <w:p w14:paraId="43C34ABB" w14:textId="77777777" w:rsidR="00D02C52" w:rsidRDefault="00D02C52">
            <w:r>
              <w:t xml:space="preserve">Love, R., et al. (2025). School-based nutrition and physical activity interventions: Editorial. Frontiers in Public Health. </w:t>
            </w:r>
            <w:hyperlink r:id="rId25" w:history="1">
              <w:r w:rsidRPr="00D02C52">
                <w:t>https://pmc.ncbi.nlm.nih.gov/articles/PMC11975572/</w:t>
              </w:r>
            </w:hyperlink>
          </w:p>
        </w:tc>
      </w:tr>
      <w:tr w:rsidR="00D02C52" w14:paraId="3A860CD2" w14:textId="77777777" w:rsidTr="00D02C52">
        <w:trPr>
          <w:tblCellSpacing w:w="15" w:type="dxa"/>
        </w:trPr>
        <w:tc>
          <w:tcPr>
            <w:tcW w:w="0" w:type="auto"/>
            <w:vAlign w:val="center"/>
            <w:hideMark/>
          </w:tcPr>
          <w:p w14:paraId="2450A0DE" w14:textId="77777777" w:rsidR="00D02C52" w:rsidRDefault="00D02C52">
            <w:r>
              <w:t>[19]</w:t>
            </w:r>
          </w:p>
        </w:tc>
        <w:tc>
          <w:tcPr>
            <w:tcW w:w="0" w:type="auto"/>
            <w:vAlign w:val="center"/>
            <w:hideMark/>
          </w:tcPr>
          <w:p w14:paraId="44382F94" w14:textId="77777777" w:rsidR="00D02C52" w:rsidRDefault="00D02C52">
            <w:r>
              <w:t xml:space="preserve">Kim, H., et al. (2025). The effects of nutritional education and school-based exercise interventions: A systematic review. Applied Sciences, 15(15), Article 8564. </w:t>
            </w:r>
            <w:hyperlink r:id="rId26" w:history="1">
              <w:r w:rsidRPr="00D02C52">
                <w:t>https://doi.org/10.3390/app15158564</w:t>
              </w:r>
            </w:hyperlink>
          </w:p>
        </w:tc>
      </w:tr>
      <w:tr w:rsidR="00D02C52" w14:paraId="127C3352" w14:textId="77777777" w:rsidTr="00D02C52">
        <w:trPr>
          <w:tblCellSpacing w:w="15" w:type="dxa"/>
        </w:trPr>
        <w:tc>
          <w:tcPr>
            <w:tcW w:w="0" w:type="auto"/>
            <w:vAlign w:val="center"/>
            <w:hideMark/>
          </w:tcPr>
          <w:p w14:paraId="43A695C7" w14:textId="77777777" w:rsidR="00D02C52" w:rsidRDefault="00D02C52">
            <w:r>
              <w:t>[20]</w:t>
            </w:r>
          </w:p>
        </w:tc>
        <w:tc>
          <w:tcPr>
            <w:tcW w:w="0" w:type="auto"/>
            <w:vAlign w:val="center"/>
            <w:hideMark/>
          </w:tcPr>
          <w:p w14:paraId="68CCC3B0" w14:textId="77777777" w:rsidR="00D02C52" w:rsidRDefault="00D02C52">
            <w:r>
              <w:t xml:space="preserve">Community Preventive Services Task Force. (2023). Obesity: Meals plus physical activity in schools. The Community Guide. </w:t>
            </w:r>
            <w:hyperlink r:id="rId27" w:history="1">
              <w:r w:rsidRPr="00D02C52">
                <w:t>https://www.thecommunityguide.org/findings/obesity-prevention-control-meal-fruit-vegetable-snack-interventions-combined-physical-activity-interventions-schools.html</w:t>
              </w:r>
            </w:hyperlink>
          </w:p>
        </w:tc>
      </w:tr>
      <w:tr w:rsidR="00D02C52" w14:paraId="382674F7" w14:textId="77777777" w:rsidTr="00D02C52">
        <w:trPr>
          <w:tblCellSpacing w:w="15" w:type="dxa"/>
        </w:trPr>
        <w:tc>
          <w:tcPr>
            <w:tcW w:w="0" w:type="auto"/>
            <w:vAlign w:val="center"/>
            <w:hideMark/>
          </w:tcPr>
          <w:p w14:paraId="41C99859" w14:textId="77777777" w:rsidR="00D02C52" w:rsidRDefault="00D02C52">
            <w:r>
              <w:t>[21]</w:t>
            </w:r>
          </w:p>
        </w:tc>
        <w:tc>
          <w:tcPr>
            <w:tcW w:w="0" w:type="auto"/>
            <w:vAlign w:val="center"/>
            <w:hideMark/>
          </w:tcPr>
          <w:p w14:paraId="6DE653B7" w14:textId="77777777" w:rsidR="00D02C52" w:rsidRDefault="00D02C52">
            <w:r>
              <w:t xml:space="preserve">Beets, M. W., et al. (2023). Physical activity interventions during the school day: A review. Journal of School Health, 93(10). </w:t>
            </w:r>
            <w:hyperlink r:id="rId28" w:history="1">
              <w:r w:rsidRPr="00D02C52">
                <w:t>https://doi.org/10.1111/josh.13371</w:t>
              </w:r>
            </w:hyperlink>
          </w:p>
        </w:tc>
      </w:tr>
      <w:tr w:rsidR="00D02C52" w14:paraId="2599CCC7" w14:textId="77777777" w:rsidTr="00D02C52">
        <w:trPr>
          <w:tblCellSpacing w:w="15" w:type="dxa"/>
        </w:trPr>
        <w:tc>
          <w:tcPr>
            <w:tcW w:w="0" w:type="auto"/>
            <w:vAlign w:val="center"/>
            <w:hideMark/>
          </w:tcPr>
          <w:p w14:paraId="3661E758" w14:textId="77777777" w:rsidR="00D02C52" w:rsidRDefault="00D02C52">
            <w:r>
              <w:t>[22]</w:t>
            </w:r>
          </w:p>
        </w:tc>
        <w:tc>
          <w:tcPr>
            <w:tcW w:w="0" w:type="auto"/>
            <w:vAlign w:val="center"/>
            <w:hideMark/>
          </w:tcPr>
          <w:p w14:paraId="64F4FCF9" w14:textId="77777777" w:rsidR="00D02C52" w:rsidRDefault="00D02C52">
            <w:r>
              <w:t xml:space="preserve">Wang, Y., et al. (2023). School-based physical activity interventions among children and adolescents in the Middle East: A systematic review. PLoS ONE, 18(7), Article e0288135. </w:t>
            </w:r>
            <w:hyperlink r:id="rId29" w:history="1">
              <w:r w:rsidRPr="00D02C52">
                <w:t>https://doi.org/10.1371/journal.pone.0288135</w:t>
              </w:r>
            </w:hyperlink>
          </w:p>
        </w:tc>
      </w:tr>
      <w:tr w:rsidR="00D02C52" w14:paraId="56AB27EA" w14:textId="77777777" w:rsidTr="00D02C52">
        <w:trPr>
          <w:tblCellSpacing w:w="15" w:type="dxa"/>
        </w:trPr>
        <w:tc>
          <w:tcPr>
            <w:tcW w:w="0" w:type="auto"/>
            <w:vAlign w:val="center"/>
            <w:hideMark/>
          </w:tcPr>
          <w:p w14:paraId="1851AC7C" w14:textId="77777777" w:rsidR="00D02C52" w:rsidRDefault="00D02C52">
            <w:r>
              <w:t>[23]</w:t>
            </w:r>
          </w:p>
        </w:tc>
        <w:tc>
          <w:tcPr>
            <w:tcW w:w="0" w:type="auto"/>
            <w:vAlign w:val="center"/>
            <w:hideMark/>
          </w:tcPr>
          <w:p w14:paraId="1052E1BF" w14:textId="77777777" w:rsidR="00D02C52" w:rsidRDefault="00D02C52">
            <w:r>
              <w:t xml:space="preserve">Chen, P., et al. (2025). A scoping review of school-based nutrition and physical activity interventions. American Journal of Lifestyle Medicine. </w:t>
            </w:r>
            <w:hyperlink r:id="rId30" w:history="1">
              <w:r w:rsidRPr="00D02C52">
                <w:t>https://doi.org/10.1177/15598276251338019</w:t>
              </w:r>
            </w:hyperlink>
          </w:p>
        </w:tc>
      </w:tr>
      <w:tr w:rsidR="00D02C52" w14:paraId="3DC0C428" w14:textId="77777777" w:rsidTr="00D02C52">
        <w:trPr>
          <w:tblCellSpacing w:w="15" w:type="dxa"/>
        </w:trPr>
        <w:tc>
          <w:tcPr>
            <w:tcW w:w="0" w:type="auto"/>
            <w:vAlign w:val="center"/>
            <w:hideMark/>
          </w:tcPr>
          <w:p w14:paraId="7F271971" w14:textId="77777777" w:rsidR="00D02C52" w:rsidRDefault="00D02C52">
            <w:r>
              <w:t>[24]</w:t>
            </w:r>
          </w:p>
        </w:tc>
        <w:tc>
          <w:tcPr>
            <w:tcW w:w="0" w:type="auto"/>
            <w:vAlign w:val="center"/>
            <w:hideMark/>
          </w:tcPr>
          <w:p w14:paraId="1A07F14D" w14:textId="77777777" w:rsidR="00D02C52" w:rsidRDefault="00D02C52">
            <w:r>
              <w:t xml:space="preserve">Montes, F., et al. (2023). A meta-analysis of the effects of comprehensive sexuality education on children and adolescents. Children, 10(9), Article 1538. </w:t>
            </w:r>
            <w:hyperlink r:id="rId31" w:history="1">
              <w:r w:rsidRPr="00D02C52">
                <w:t>https://pmc.ncbi.nlm.nih.gov/articles/PMC10530760/</w:t>
              </w:r>
            </w:hyperlink>
          </w:p>
        </w:tc>
      </w:tr>
      <w:tr w:rsidR="00D02C52" w14:paraId="54D9B6D0" w14:textId="77777777" w:rsidTr="00D02C52">
        <w:trPr>
          <w:tblCellSpacing w:w="15" w:type="dxa"/>
        </w:trPr>
        <w:tc>
          <w:tcPr>
            <w:tcW w:w="0" w:type="auto"/>
            <w:vAlign w:val="center"/>
            <w:hideMark/>
          </w:tcPr>
          <w:p w14:paraId="2731FA50" w14:textId="77777777" w:rsidR="00D02C52" w:rsidRDefault="00D02C52">
            <w:r>
              <w:t>[25]</w:t>
            </w:r>
          </w:p>
        </w:tc>
        <w:tc>
          <w:tcPr>
            <w:tcW w:w="0" w:type="auto"/>
            <w:vAlign w:val="center"/>
            <w:hideMark/>
          </w:tcPr>
          <w:p w14:paraId="435CA95A" w14:textId="77777777" w:rsidR="00D02C52" w:rsidRDefault="00D02C52">
            <w:r>
              <w:t xml:space="preserve">García-Vázquez, A., et al. (2025). Sex education in adolescence: A systematic review of programmes and meta-analysis. Children and Youth Services Review, 158, Article 107485. </w:t>
            </w:r>
            <w:hyperlink r:id="rId32" w:history="1">
              <w:r w:rsidRPr="00D02C52">
                <w:t>https://doi.org/10.1016/j.childyouth.2024.107485</w:t>
              </w:r>
            </w:hyperlink>
          </w:p>
        </w:tc>
      </w:tr>
      <w:tr w:rsidR="00D02C52" w14:paraId="47143080" w14:textId="77777777" w:rsidTr="00D02C52">
        <w:trPr>
          <w:tblCellSpacing w:w="15" w:type="dxa"/>
        </w:trPr>
        <w:tc>
          <w:tcPr>
            <w:tcW w:w="0" w:type="auto"/>
            <w:vAlign w:val="center"/>
            <w:hideMark/>
          </w:tcPr>
          <w:p w14:paraId="3F473097" w14:textId="77777777" w:rsidR="00D02C52" w:rsidRDefault="00D02C52">
            <w:r>
              <w:t>[26]</w:t>
            </w:r>
          </w:p>
        </w:tc>
        <w:tc>
          <w:tcPr>
            <w:tcW w:w="0" w:type="auto"/>
            <w:vAlign w:val="center"/>
            <w:hideMark/>
          </w:tcPr>
          <w:p w14:paraId="291FE155" w14:textId="77777777" w:rsidR="00D02C52" w:rsidRDefault="00D02C52">
            <w:r>
              <w:t xml:space="preserve">Goldfarb, E. S., et al. (2025). Promising approaches to comprehensive sex education: Evidence review. Journal of Adolescent Health, 76(3, Suppl.), S1–S10. </w:t>
            </w:r>
            <w:hyperlink r:id="rId33" w:history="1">
              <w:r w:rsidRPr="00D02C52">
                <w:t>https://doi.org/10.1016/j.jadohealth.2025.00285</w:t>
              </w:r>
            </w:hyperlink>
          </w:p>
        </w:tc>
      </w:tr>
      <w:tr w:rsidR="00D02C52" w14:paraId="2D875EF8" w14:textId="77777777" w:rsidTr="00D02C52">
        <w:trPr>
          <w:tblCellSpacing w:w="15" w:type="dxa"/>
        </w:trPr>
        <w:tc>
          <w:tcPr>
            <w:tcW w:w="0" w:type="auto"/>
            <w:vAlign w:val="center"/>
            <w:hideMark/>
          </w:tcPr>
          <w:p w14:paraId="6C95884C" w14:textId="77777777" w:rsidR="00D02C52" w:rsidRDefault="00D02C52">
            <w:r>
              <w:t>[27]</w:t>
            </w:r>
          </w:p>
        </w:tc>
        <w:tc>
          <w:tcPr>
            <w:tcW w:w="0" w:type="auto"/>
            <w:vAlign w:val="center"/>
            <w:hideMark/>
          </w:tcPr>
          <w:p w14:paraId="3F9AB7BB" w14:textId="77777777" w:rsidR="00D02C52" w:rsidRDefault="00D02C52">
            <w:r>
              <w:t xml:space="preserve">UNESCO. (2024). Comprehensive sexuality education: Implementation guidance. </w:t>
            </w:r>
            <w:hyperlink r:id="rId34" w:history="1">
              <w:r w:rsidRPr="00D02C52">
                <w:t>https://share-netinternational.org/wp-content/uploads/2024/04/385849eng.pdf</w:t>
              </w:r>
            </w:hyperlink>
          </w:p>
        </w:tc>
      </w:tr>
      <w:tr w:rsidR="00D02C52" w14:paraId="4AA03CD2" w14:textId="77777777" w:rsidTr="00D02C52">
        <w:trPr>
          <w:tblCellSpacing w:w="15" w:type="dxa"/>
        </w:trPr>
        <w:tc>
          <w:tcPr>
            <w:tcW w:w="0" w:type="auto"/>
            <w:vAlign w:val="center"/>
            <w:hideMark/>
          </w:tcPr>
          <w:p w14:paraId="3D53285C" w14:textId="77777777" w:rsidR="00D02C52" w:rsidRDefault="00D02C52">
            <w:r>
              <w:t>[28]</w:t>
            </w:r>
          </w:p>
        </w:tc>
        <w:tc>
          <w:tcPr>
            <w:tcW w:w="0" w:type="auto"/>
            <w:vAlign w:val="center"/>
            <w:hideMark/>
          </w:tcPr>
          <w:p w14:paraId="3A402A36" w14:textId="77777777" w:rsidR="00D02C52" w:rsidRDefault="00D02C52">
            <w:r>
              <w:t xml:space="preserve">Hickey, M., et al. (2025). Beyond the birds and bees: Why comprehensive sexuality education is a game-changer. Cureus, 17(8), Article e391232. </w:t>
            </w:r>
            <w:hyperlink r:id="rId35" w:history="1">
              <w:r w:rsidRPr="00D02C52">
                <w:t>https://doi.org/10.7759/cureus.391232</w:t>
              </w:r>
            </w:hyperlink>
          </w:p>
        </w:tc>
      </w:tr>
      <w:tr w:rsidR="00D02C52" w14:paraId="7533CE3B" w14:textId="77777777" w:rsidTr="00D02C52">
        <w:trPr>
          <w:tblCellSpacing w:w="15" w:type="dxa"/>
        </w:trPr>
        <w:tc>
          <w:tcPr>
            <w:tcW w:w="0" w:type="auto"/>
            <w:vAlign w:val="center"/>
            <w:hideMark/>
          </w:tcPr>
          <w:p w14:paraId="004A3104" w14:textId="77777777" w:rsidR="00D02C52" w:rsidRDefault="00D02C52">
            <w:r>
              <w:t>[29]</w:t>
            </w:r>
          </w:p>
        </w:tc>
        <w:tc>
          <w:tcPr>
            <w:tcW w:w="0" w:type="auto"/>
            <w:vAlign w:val="center"/>
            <w:hideMark/>
          </w:tcPr>
          <w:p w14:paraId="39470912" w14:textId="77777777" w:rsidR="00D02C52" w:rsidRDefault="00D02C52">
            <w:r>
              <w:t xml:space="preserve">Guse, K., et al. (2023). Expansion of comprehensive sexuality education. Journal of Obstetric, Gynecologic &amp; Neonatal Nursing, 52(6). </w:t>
            </w:r>
            <w:hyperlink r:id="rId36" w:history="1">
              <w:r w:rsidRPr="00D02C52">
                <w:t>https://doi.org/10.1016/j.jognn.2023.00289</w:t>
              </w:r>
            </w:hyperlink>
          </w:p>
        </w:tc>
      </w:tr>
      <w:tr w:rsidR="00D02C52" w14:paraId="65015CFC" w14:textId="77777777" w:rsidTr="00D02C52">
        <w:trPr>
          <w:tblCellSpacing w:w="15" w:type="dxa"/>
        </w:trPr>
        <w:tc>
          <w:tcPr>
            <w:tcW w:w="0" w:type="auto"/>
            <w:vAlign w:val="center"/>
            <w:hideMark/>
          </w:tcPr>
          <w:p w14:paraId="5F7B9BBA" w14:textId="77777777" w:rsidR="00D02C52" w:rsidRDefault="00D02C52">
            <w:r>
              <w:t>[30]</w:t>
            </w:r>
          </w:p>
        </w:tc>
        <w:tc>
          <w:tcPr>
            <w:tcW w:w="0" w:type="auto"/>
            <w:vAlign w:val="center"/>
            <w:hideMark/>
          </w:tcPr>
          <w:p w14:paraId="241216CC" w14:textId="77777777" w:rsidR="00D02C52" w:rsidRDefault="00D02C52">
            <w:r>
              <w:t xml:space="preserve">Planetary Health Alliance. (n.d.). Educating children and teens on planetary health. </w:t>
            </w:r>
            <w:hyperlink r:id="rId37" w:history="1">
              <w:r w:rsidRPr="00D02C52">
                <w:t>https://planetaryhealthalliance.org/for-educators/educating-children-and-teens/</w:t>
              </w:r>
            </w:hyperlink>
          </w:p>
        </w:tc>
      </w:tr>
      <w:tr w:rsidR="00D02C52" w14:paraId="66B0F244" w14:textId="77777777" w:rsidTr="00D02C52">
        <w:trPr>
          <w:tblCellSpacing w:w="15" w:type="dxa"/>
        </w:trPr>
        <w:tc>
          <w:tcPr>
            <w:tcW w:w="0" w:type="auto"/>
            <w:vAlign w:val="center"/>
            <w:hideMark/>
          </w:tcPr>
          <w:p w14:paraId="00591754" w14:textId="77777777" w:rsidR="00D02C52" w:rsidRDefault="00D02C52">
            <w:r>
              <w:t>[31]</w:t>
            </w:r>
          </w:p>
        </w:tc>
        <w:tc>
          <w:tcPr>
            <w:tcW w:w="0" w:type="auto"/>
            <w:vAlign w:val="center"/>
            <w:hideMark/>
          </w:tcPr>
          <w:p w14:paraId="74E09494" w14:textId="77777777" w:rsidR="00D02C52" w:rsidRDefault="00D02C52">
            <w:r>
              <w:t xml:space="preserve">Marks, R. (2025). Young people are suffering from climate anxiety: Here's how to help. Yale Climate Connections. </w:t>
            </w:r>
            <w:hyperlink r:id="rId38" w:history="1">
              <w:r w:rsidRPr="00D02C52">
                <w:t>https://yaleclimateconnections.org/2025/01/young-people-are-suffering-from-climate-anxiety-heres-how-to-help/</w:t>
              </w:r>
            </w:hyperlink>
          </w:p>
        </w:tc>
      </w:tr>
      <w:tr w:rsidR="00D02C52" w14:paraId="545ACB27" w14:textId="77777777" w:rsidTr="00D02C52">
        <w:trPr>
          <w:tblCellSpacing w:w="15" w:type="dxa"/>
        </w:trPr>
        <w:tc>
          <w:tcPr>
            <w:tcW w:w="0" w:type="auto"/>
            <w:vAlign w:val="center"/>
            <w:hideMark/>
          </w:tcPr>
          <w:p w14:paraId="2D4B16B6" w14:textId="77777777" w:rsidR="00D02C52" w:rsidRDefault="00D02C52">
            <w:r>
              <w:t>[32]</w:t>
            </w:r>
          </w:p>
        </w:tc>
        <w:tc>
          <w:tcPr>
            <w:tcW w:w="0" w:type="auto"/>
            <w:vAlign w:val="center"/>
            <w:hideMark/>
          </w:tcPr>
          <w:p w14:paraId="34B30F32" w14:textId="77777777" w:rsidR="00D02C52" w:rsidRDefault="00D02C52">
            <w:r>
              <w:t xml:space="preserve">Léger-Goodes, T., et al. (2024). Climate emotions, thoughts, and plans among US adolescents and young adults. The Lancet Planetary Health, 8(10), e729–e738. </w:t>
            </w:r>
            <w:hyperlink r:id="rId39" w:history="1">
              <w:r w:rsidRPr="00D02C52">
                <w:t>https://doi.org/10.1016/S2542-5196(24)00229-8</w:t>
              </w:r>
            </w:hyperlink>
          </w:p>
        </w:tc>
      </w:tr>
      <w:tr w:rsidR="00D02C52" w14:paraId="4EF79B06" w14:textId="77777777" w:rsidTr="00D02C52">
        <w:trPr>
          <w:tblCellSpacing w:w="15" w:type="dxa"/>
        </w:trPr>
        <w:tc>
          <w:tcPr>
            <w:tcW w:w="0" w:type="auto"/>
            <w:vAlign w:val="center"/>
            <w:hideMark/>
          </w:tcPr>
          <w:p w14:paraId="3A3076C7" w14:textId="77777777" w:rsidR="00D02C52" w:rsidRDefault="00D02C52">
            <w:r>
              <w:t>[33]</w:t>
            </w:r>
          </w:p>
        </w:tc>
        <w:tc>
          <w:tcPr>
            <w:tcW w:w="0" w:type="auto"/>
            <w:vAlign w:val="center"/>
            <w:hideMark/>
          </w:tcPr>
          <w:p w14:paraId="70498170" w14:textId="77777777" w:rsidR="00D02C52" w:rsidRDefault="00D02C52">
            <w:r>
              <w:t xml:space="preserve">American Psychological Association. (2025). Helping youth move from climate anxiety to climate action. Monitor on Psychology, 56(4). </w:t>
            </w:r>
            <w:hyperlink r:id="rId40" w:history="1">
              <w:r w:rsidRPr="00D02C52">
                <w:t>https://www.apa.org/monitor/2025/06/youth-climate-anxiety-action</w:t>
              </w:r>
            </w:hyperlink>
          </w:p>
        </w:tc>
      </w:tr>
      <w:tr w:rsidR="00D02C52" w14:paraId="43DCFF6F" w14:textId="77777777" w:rsidTr="00D02C52">
        <w:trPr>
          <w:tblCellSpacing w:w="15" w:type="dxa"/>
        </w:trPr>
        <w:tc>
          <w:tcPr>
            <w:tcW w:w="0" w:type="auto"/>
            <w:vAlign w:val="center"/>
            <w:hideMark/>
          </w:tcPr>
          <w:p w14:paraId="0C032068" w14:textId="77777777" w:rsidR="00D02C52" w:rsidRDefault="00D02C52">
            <w:r>
              <w:t>[34]</w:t>
            </w:r>
          </w:p>
        </w:tc>
        <w:tc>
          <w:tcPr>
            <w:tcW w:w="0" w:type="auto"/>
            <w:vAlign w:val="center"/>
            <w:hideMark/>
          </w:tcPr>
          <w:p w14:paraId="6EFEE67B" w14:textId="77777777" w:rsidR="00D02C52" w:rsidRDefault="00D02C52">
            <w:r>
              <w:t xml:space="preserve">Pihkala, P. (2025). Educating for planetary and human flourishing through the arts in the context of climate change. JAMA Network Open, 8(9), Article e2838768. </w:t>
            </w:r>
            <w:hyperlink r:id="rId41" w:history="1">
              <w:r w:rsidRPr="00D02C52">
                <w:t>https://doi.org/10.1001/jamanetworkopen.2025.38768</w:t>
              </w:r>
            </w:hyperlink>
          </w:p>
        </w:tc>
      </w:tr>
      <w:tr w:rsidR="00D02C52" w14:paraId="409194D2" w14:textId="77777777" w:rsidTr="00D02C52">
        <w:trPr>
          <w:tblCellSpacing w:w="15" w:type="dxa"/>
        </w:trPr>
        <w:tc>
          <w:tcPr>
            <w:tcW w:w="0" w:type="auto"/>
            <w:vAlign w:val="center"/>
            <w:hideMark/>
          </w:tcPr>
          <w:p w14:paraId="10401DD1" w14:textId="77777777" w:rsidR="00D02C52" w:rsidRDefault="00D02C52">
            <w:r>
              <w:t>[35]</w:t>
            </w:r>
          </w:p>
        </w:tc>
        <w:tc>
          <w:tcPr>
            <w:tcW w:w="0" w:type="auto"/>
            <w:vAlign w:val="center"/>
            <w:hideMark/>
          </w:tcPr>
          <w:p w14:paraId="06C4A243" w14:textId="77777777" w:rsidR="00D02C52" w:rsidRDefault="00D02C52">
            <w:r>
              <w:t xml:space="preserve">Hickman, C., et al. (2021). Climate anxiety in children and young people and their beliefs about government responses. The Lancet Planetary Health, 5(12), e863–e873. </w:t>
            </w:r>
            <w:hyperlink r:id="rId42" w:history="1">
              <w:r w:rsidRPr="00D02C52">
                <w:t>https://doi.org/10.1016/S2542-5196(21)00278-3</w:t>
              </w:r>
            </w:hyperlink>
          </w:p>
        </w:tc>
      </w:tr>
      <w:tr w:rsidR="00D02C52" w14:paraId="40F6F292" w14:textId="77777777" w:rsidTr="00D02C52">
        <w:trPr>
          <w:tblCellSpacing w:w="15" w:type="dxa"/>
        </w:trPr>
        <w:tc>
          <w:tcPr>
            <w:tcW w:w="0" w:type="auto"/>
            <w:vAlign w:val="center"/>
            <w:hideMark/>
          </w:tcPr>
          <w:p w14:paraId="2C0703C6" w14:textId="77777777" w:rsidR="00D02C52" w:rsidRDefault="00D02C52">
            <w:r>
              <w:t>[36]</w:t>
            </w:r>
          </w:p>
        </w:tc>
        <w:tc>
          <w:tcPr>
            <w:tcW w:w="0" w:type="auto"/>
            <w:vAlign w:val="center"/>
            <w:hideMark/>
          </w:tcPr>
          <w:p w14:paraId="24288159" w14:textId="77777777" w:rsidR="00D02C52" w:rsidRDefault="00D02C52">
            <w:r>
              <w:t xml:space="preserve">World Health Organization. (2024). Health-promoting schools initiative: Regional frameworks. </w:t>
            </w:r>
            <w:hyperlink r:id="rId43" w:history="1">
              <w:r w:rsidRPr="00D02C52">
                <w:t>https://www.who.int/southeastasia/activities/health-promoting-school</w:t>
              </w:r>
            </w:hyperlink>
          </w:p>
        </w:tc>
      </w:tr>
      <w:tr w:rsidR="00D02C52" w14:paraId="75BBA579" w14:textId="77777777" w:rsidTr="00D02C52">
        <w:trPr>
          <w:tblCellSpacing w:w="15" w:type="dxa"/>
        </w:trPr>
        <w:tc>
          <w:tcPr>
            <w:tcW w:w="0" w:type="auto"/>
            <w:vAlign w:val="center"/>
            <w:hideMark/>
          </w:tcPr>
          <w:p w14:paraId="5CC4B091" w14:textId="77777777" w:rsidR="00D02C52" w:rsidRDefault="00D02C52">
            <w:r>
              <w:t>[37]</w:t>
            </w:r>
          </w:p>
        </w:tc>
        <w:tc>
          <w:tcPr>
            <w:tcW w:w="0" w:type="auto"/>
            <w:vAlign w:val="center"/>
            <w:hideMark/>
          </w:tcPr>
          <w:p w14:paraId="00B6893D" w14:textId="77777777" w:rsidR="00D02C52" w:rsidRDefault="00D02C52">
            <w:r>
              <w:t>Langford, R., et al. (2023). The WHO Health Promoting School framework for improving health and well-being: Cochrane review update. Cochrane Database of Systematic Reviews, (4), Article CD008958.</w:t>
            </w:r>
          </w:p>
        </w:tc>
      </w:tr>
      <w:tr w:rsidR="00D02C52" w14:paraId="7A7746CA" w14:textId="77777777" w:rsidTr="00D02C52">
        <w:trPr>
          <w:tblCellSpacing w:w="15" w:type="dxa"/>
        </w:trPr>
        <w:tc>
          <w:tcPr>
            <w:tcW w:w="0" w:type="auto"/>
            <w:vAlign w:val="center"/>
            <w:hideMark/>
          </w:tcPr>
          <w:p w14:paraId="3AC81BA1" w14:textId="77777777" w:rsidR="00D02C52" w:rsidRDefault="00D02C52">
            <w:r>
              <w:t>[38]</w:t>
            </w:r>
          </w:p>
        </w:tc>
        <w:tc>
          <w:tcPr>
            <w:tcW w:w="0" w:type="auto"/>
            <w:vAlign w:val="center"/>
            <w:hideMark/>
          </w:tcPr>
          <w:p w14:paraId="29D8BA7E" w14:textId="77777777" w:rsidR="00D02C52" w:rsidRDefault="00D02C52">
            <w:r>
              <w:t xml:space="preserve">Centers for Disease Control and Prevention. (2024). Youth Risk Behavior Survey: 2023–2024 trends. </w:t>
            </w:r>
            <w:hyperlink r:id="rId44" w:history="1">
              <w:r w:rsidRPr="00D02C52">
                <w:t>https://www.cdc.gov/healthyyouth/data/yrbs/index.htm</w:t>
              </w:r>
            </w:hyperlink>
          </w:p>
        </w:tc>
      </w:tr>
      <w:tr w:rsidR="00D02C52" w14:paraId="176DC517" w14:textId="77777777" w:rsidTr="00D02C52">
        <w:trPr>
          <w:tblCellSpacing w:w="15" w:type="dxa"/>
        </w:trPr>
        <w:tc>
          <w:tcPr>
            <w:tcW w:w="0" w:type="auto"/>
            <w:vAlign w:val="center"/>
            <w:hideMark/>
          </w:tcPr>
          <w:p w14:paraId="4CE3BD7A" w14:textId="77777777" w:rsidR="00D02C52" w:rsidRDefault="00D02C52">
            <w:r>
              <w:t>[39]</w:t>
            </w:r>
          </w:p>
        </w:tc>
        <w:tc>
          <w:tcPr>
            <w:tcW w:w="0" w:type="auto"/>
            <w:vAlign w:val="center"/>
            <w:hideMark/>
          </w:tcPr>
          <w:p w14:paraId="57E8C22B" w14:textId="77777777" w:rsidR="00D02C52" w:rsidRDefault="00D02C52">
            <w:r>
              <w:t>Nagata, J. M., et al. (2024). Excessive screen time and mental health in adolescents. JAMA Pediatrics, 178(5), 456–464.</w:t>
            </w:r>
          </w:p>
        </w:tc>
      </w:tr>
      <w:tr w:rsidR="00D02C52" w14:paraId="455AB5E4" w14:textId="77777777" w:rsidTr="00D02C52">
        <w:trPr>
          <w:tblCellSpacing w:w="15" w:type="dxa"/>
        </w:trPr>
        <w:tc>
          <w:tcPr>
            <w:tcW w:w="0" w:type="auto"/>
            <w:vAlign w:val="center"/>
            <w:hideMark/>
          </w:tcPr>
          <w:p w14:paraId="692EB22F" w14:textId="77777777" w:rsidR="00D02C52" w:rsidRDefault="00D02C52">
            <w:r>
              <w:t>[40]</w:t>
            </w:r>
          </w:p>
        </w:tc>
        <w:tc>
          <w:tcPr>
            <w:tcW w:w="0" w:type="auto"/>
            <w:vAlign w:val="center"/>
            <w:hideMark/>
          </w:tcPr>
          <w:p w14:paraId="3F76A312" w14:textId="77777777" w:rsidR="00D02C52" w:rsidRDefault="00D02C52">
            <w:r>
              <w:t>Yamaguchi, S., et al. (2025). School-based mental health literacy interventions: Meta-analysis. Journal of Adolescent Health, 76(2), 210–220.</w:t>
            </w:r>
          </w:p>
        </w:tc>
      </w:tr>
      <w:tr w:rsidR="00D02C52" w14:paraId="5CE16FFF" w14:textId="77777777" w:rsidTr="00D02C52">
        <w:trPr>
          <w:tblCellSpacing w:w="15" w:type="dxa"/>
        </w:trPr>
        <w:tc>
          <w:tcPr>
            <w:tcW w:w="0" w:type="auto"/>
            <w:vAlign w:val="center"/>
            <w:hideMark/>
          </w:tcPr>
          <w:p w14:paraId="4400C930" w14:textId="77777777" w:rsidR="00D02C52" w:rsidRDefault="00D02C52">
            <w:r>
              <w:t>[41]</w:t>
            </w:r>
          </w:p>
        </w:tc>
        <w:tc>
          <w:tcPr>
            <w:tcW w:w="0" w:type="auto"/>
            <w:vAlign w:val="center"/>
            <w:hideMark/>
          </w:tcPr>
          <w:p w14:paraId="6D331CB6" w14:textId="77777777" w:rsidR="00D02C52" w:rsidRDefault="00D02C52">
            <w:r>
              <w:t>Shackleton, N., et al. (2025). Evidence gap map of whole-school mental health interventions. Campbell Systematic Reviews, 21(1), Article e1402.</w:t>
            </w:r>
          </w:p>
        </w:tc>
      </w:tr>
      <w:tr w:rsidR="00D02C52" w14:paraId="733CD0EA" w14:textId="77777777" w:rsidTr="00D02C52">
        <w:trPr>
          <w:tblCellSpacing w:w="15" w:type="dxa"/>
        </w:trPr>
        <w:tc>
          <w:tcPr>
            <w:tcW w:w="0" w:type="auto"/>
            <w:vAlign w:val="center"/>
            <w:hideMark/>
          </w:tcPr>
          <w:p w14:paraId="4F926978" w14:textId="77777777" w:rsidR="00D02C52" w:rsidRDefault="00D02C52">
            <w:r>
              <w:t>[42]</w:t>
            </w:r>
          </w:p>
        </w:tc>
        <w:tc>
          <w:tcPr>
            <w:tcW w:w="0" w:type="auto"/>
            <w:vAlign w:val="center"/>
            <w:hideMark/>
          </w:tcPr>
          <w:p w14:paraId="3EE506A5" w14:textId="77777777" w:rsidR="00D02C52" w:rsidRDefault="00D02C52">
            <w:r>
              <w:t>Pearson, M., et al. (2024). Multicomponent school-based obesity prevention interventions. Obesity Reviews, 25(3), Article e13678.</w:t>
            </w:r>
          </w:p>
        </w:tc>
      </w:tr>
      <w:tr w:rsidR="00D02C52" w14:paraId="3FD08D8A" w14:textId="77777777" w:rsidTr="00D02C52">
        <w:trPr>
          <w:tblCellSpacing w:w="15" w:type="dxa"/>
        </w:trPr>
        <w:tc>
          <w:tcPr>
            <w:tcW w:w="0" w:type="auto"/>
            <w:vAlign w:val="center"/>
            <w:hideMark/>
          </w:tcPr>
          <w:p w14:paraId="7F278D33" w14:textId="77777777" w:rsidR="00D02C52" w:rsidRDefault="00D02C52">
            <w:r>
              <w:t>[43]</w:t>
            </w:r>
          </w:p>
        </w:tc>
        <w:tc>
          <w:tcPr>
            <w:tcW w:w="0" w:type="auto"/>
            <w:vAlign w:val="center"/>
            <w:hideMark/>
          </w:tcPr>
          <w:p w14:paraId="2B60E8D2" w14:textId="77777777" w:rsidR="00D02C52" w:rsidRDefault="00D02C52">
            <w:r>
              <w:t>Pereira, A. P., &amp; Rodrigues, M. (2025). Teacher-delivered mental health literacy programs: Meta-analysis. School Psychology Review, 54(1), 45–58.</w:t>
            </w:r>
          </w:p>
        </w:tc>
      </w:tr>
      <w:tr w:rsidR="00D02C52" w14:paraId="78C8642D" w14:textId="77777777" w:rsidTr="00D02C52">
        <w:trPr>
          <w:tblCellSpacing w:w="15" w:type="dxa"/>
        </w:trPr>
        <w:tc>
          <w:tcPr>
            <w:tcW w:w="0" w:type="auto"/>
            <w:vAlign w:val="center"/>
            <w:hideMark/>
          </w:tcPr>
          <w:p w14:paraId="3ED2CB63" w14:textId="77777777" w:rsidR="00D02C52" w:rsidRDefault="00D02C52">
            <w:r>
              <w:t>[44]</w:t>
            </w:r>
          </w:p>
        </w:tc>
        <w:tc>
          <w:tcPr>
            <w:tcW w:w="0" w:type="auto"/>
            <w:vAlign w:val="center"/>
            <w:hideMark/>
          </w:tcPr>
          <w:p w14:paraId="37D17027" w14:textId="77777777" w:rsidR="00D02C52" w:rsidRDefault="00D02C52">
            <w:r>
              <w:t>Werb, D., &amp; Garfein, R. S. (2024). Universal e-health tools for adolescent mental health. The Lancet Digital Health, 6(4), e256–e264.</w:t>
            </w:r>
          </w:p>
        </w:tc>
      </w:tr>
      <w:tr w:rsidR="00D02C52" w14:paraId="7DF6AB63" w14:textId="77777777" w:rsidTr="00D02C52">
        <w:trPr>
          <w:tblCellSpacing w:w="15" w:type="dxa"/>
        </w:trPr>
        <w:tc>
          <w:tcPr>
            <w:tcW w:w="0" w:type="auto"/>
            <w:vAlign w:val="center"/>
            <w:hideMark/>
          </w:tcPr>
          <w:p w14:paraId="3AB814A6" w14:textId="77777777" w:rsidR="00D02C52" w:rsidRDefault="00D02C52">
            <w:r>
              <w:t>[45]</w:t>
            </w:r>
          </w:p>
        </w:tc>
        <w:tc>
          <w:tcPr>
            <w:tcW w:w="0" w:type="auto"/>
            <w:vAlign w:val="center"/>
            <w:hideMark/>
          </w:tcPr>
          <w:p w14:paraId="42FCF959" w14:textId="77777777" w:rsidR="00D02C52" w:rsidRDefault="00D02C52">
            <w:r>
              <w:t>Dreyhaupt, J., &amp; Steinacker, J. M. (2025). Resilience-focused school interventions: Systematic review. Prevention Science, 26(2), 301–312.</w:t>
            </w:r>
          </w:p>
        </w:tc>
      </w:tr>
      <w:tr w:rsidR="00D02C52" w14:paraId="420DB63C" w14:textId="77777777" w:rsidTr="00D02C52">
        <w:trPr>
          <w:tblCellSpacing w:w="15" w:type="dxa"/>
        </w:trPr>
        <w:tc>
          <w:tcPr>
            <w:tcW w:w="0" w:type="auto"/>
            <w:vAlign w:val="center"/>
            <w:hideMark/>
          </w:tcPr>
          <w:p w14:paraId="7B19EFEB" w14:textId="77777777" w:rsidR="00D02C52" w:rsidRDefault="00D02C52">
            <w:r>
              <w:t>[46]</w:t>
            </w:r>
          </w:p>
        </w:tc>
        <w:tc>
          <w:tcPr>
            <w:tcW w:w="0" w:type="auto"/>
            <w:vAlign w:val="center"/>
            <w:hideMark/>
          </w:tcPr>
          <w:p w14:paraId="2D160D6C" w14:textId="77777777" w:rsidR="00D02C52" w:rsidRDefault="00D02C52">
            <w:r>
              <w:t>UNESCO &amp; WHO. (2023–2025). Comprehensive sexuality education standards update. UNESCO.</w:t>
            </w:r>
          </w:p>
        </w:tc>
      </w:tr>
      <w:tr w:rsidR="00D02C52" w14:paraId="30A05DEF" w14:textId="77777777" w:rsidTr="00D02C52">
        <w:trPr>
          <w:tblCellSpacing w:w="15" w:type="dxa"/>
        </w:trPr>
        <w:tc>
          <w:tcPr>
            <w:tcW w:w="0" w:type="auto"/>
            <w:vAlign w:val="center"/>
            <w:hideMark/>
          </w:tcPr>
          <w:p w14:paraId="2314F902" w14:textId="77777777" w:rsidR="00D02C52" w:rsidRDefault="00D02C52">
            <w:r>
              <w:t>[47]</w:t>
            </w:r>
          </w:p>
        </w:tc>
        <w:tc>
          <w:tcPr>
            <w:tcW w:w="0" w:type="auto"/>
            <w:vAlign w:val="center"/>
            <w:hideMark/>
          </w:tcPr>
          <w:p w14:paraId="76A19A10" w14:textId="77777777" w:rsidR="00D02C52" w:rsidRDefault="00D02C52">
            <w:r>
              <w:t>Montes, F., et al. (2025). Systematic review of school-based comprehensive sexuality education. Journal of Adolescent Health.</w:t>
            </w:r>
          </w:p>
        </w:tc>
      </w:tr>
      <w:tr w:rsidR="00D02C52" w14:paraId="2A77A77B" w14:textId="77777777" w:rsidTr="00D02C52">
        <w:trPr>
          <w:tblCellSpacing w:w="15" w:type="dxa"/>
        </w:trPr>
        <w:tc>
          <w:tcPr>
            <w:tcW w:w="0" w:type="auto"/>
            <w:vAlign w:val="center"/>
            <w:hideMark/>
          </w:tcPr>
          <w:p w14:paraId="13407910" w14:textId="77777777" w:rsidR="00D02C52" w:rsidRDefault="00D02C52">
            <w:r>
              <w:t>[48]</w:t>
            </w:r>
          </w:p>
        </w:tc>
        <w:tc>
          <w:tcPr>
            <w:tcW w:w="0" w:type="auto"/>
            <w:vAlign w:val="center"/>
            <w:hideMark/>
          </w:tcPr>
          <w:p w14:paraId="2B71091F" w14:textId="77777777" w:rsidR="00D02C52" w:rsidRDefault="00D02C52">
            <w:r>
              <w:t>Goldfarb, E. S., et al. (2025). Promising approaches in K-12 comprehensive sexuality education. Journal of Adolescent Health.</w:t>
            </w:r>
          </w:p>
        </w:tc>
      </w:tr>
      <w:tr w:rsidR="00D02C52" w14:paraId="2946B2A7" w14:textId="77777777" w:rsidTr="00D02C52">
        <w:trPr>
          <w:tblCellSpacing w:w="15" w:type="dxa"/>
        </w:trPr>
        <w:tc>
          <w:tcPr>
            <w:tcW w:w="0" w:type="auto"/>
            <w:vAlign w:val="center"/>
            <w:hideMark/>
          </w:tcPr>
          <w:p w14:paraId="4B60DC85" w14:textId="77777777" w:rsidR="00D02C52" w:rsidRDefault="00D02C52">
            <w:r>
              <w:t>[49]</w:t>
            </w:r>
          </w:p>
        </w:tc>
        <w:tc>
          <w:tcPr>
            <w:tcW w:w="0" w:type="auto"/>
            <w:vAlign w:val="center"/>
            <w:hideMark/>
          </w:tcPr>
          <w:p w14:paraId="5DF8B50E" w14:textId="77777777" w:rsidR="00D02C52" w:rsidRDefault="00D02C52">
            <w:r>
              <w:t>Champion, K. E., et al. (2024–2025). Digital/hybrid comprehensive sexuality education in LMICs. PubMed.</w:t>
            </w:r>
          </w:p>
        </w:tc>
      </w:tr>
      <w:tr w:rsidR="00D02C52" w14:paraId="116593C9" w14:textId="77777777" w:rsidTr="00D02C52">
        <w:trPr>
          <w:tblCellSpacing w:w="15" w:type="dxa"/>
        </w:trPr>
        <w:tc>
          <w:tcPr>
            <w:tcW w:w="0" w:type="auto"/>
            <w:vAlign w:val="center"/>
            <w:hideMark/>
          </w:tcPr>
          <w:p w14:paraId="18407EF9" w14:textId="77777777" w:rsidR="00D02C52" w:rsidRDefault="00D02C52">
            <w:r>
              <w:t>[50]</w:t>
            </w:r>
          </w:p>
        </w:tc>
        <w:tc>
          <w:tcPr>
            <w:tcW w:w="0" w:type="auto"/>
            <w:vAlign w:val="center"/>
            <w:hideMark/>
          </w:tcPr>
          <w:p w14:paraId="7D53C2D0" w14:textId="77777777" w:rsidR="00D02C52" w:rsidRDefault="00D02C52">
            <w:r>
              <w:t>Various authors. (2025). Culturally adapted comprehensive sexuality education programs. PubMed.</w:t>
            </w:r>
          </w:p>
        </w:tc>
      </w:tr>
      <w:tr w:rsidR="00D02C52" w14:paraId="3DF1D1A8" w14:textId="77777777" w:rsidTr="00D02C52">
        <w:trPr>
          <w:tblCellSpacing w:w="15" w:type="dxa"/>
        </w:trPr>
        <w:tc>
          <w:tcPr>
            <w:tcW w:w="0" w:type="auto"/>
            <w:vAlign w:val="center"/>
            <w:hideMark/>
          </w:tcPr>
          <w:p w14:paraId="00E340FE" w14:textId="77777777" w:rsidR="00D02C52" w:rsidRDefault="00D02C52">
            <w:r>
              <w:t>[51]</w:t>
            </w:r>
          </w:p>
        </w:tc>
        <w:tc>
          <w:tcPr>
            <w:tcW w:w="0" w:type="auto"/>
            <w:vAlign w:val="center"/>
            <w:hideMark/>
          </w:tcPr>
          <w:p w14:paraId="294101E1" w14:textId="77777777" w:rsidR="00D02C52" w:rsidRDefault="00D02C52">
            <w:r>
              <w:t>Various authors. (2025). Comprehensive sexuality education and broader outcomes: Meta-analysis. PubMed.</w:t>
            </w:r>
          </w:p>
        </w:tc>
      </w:tr>
      <w:tr w:rsidR="00D02C52" w14:paraId="486CA481" w14:textId="77777777" w:rsidTr="00D02C52">
        <w:trPr>
          <w:tblCellSpacing w:w="15" w:type="dxa"/>
        </w:trPr>
        <w:tc>
          <w:tcPr>
            <w:tcW w:w="0" w:type="auto"/>
            <w:vAlign w:val="center"/>
            <w:hideMark/>
          </w:tcPr>
          <w:p w14:paraId="0104F2DD" w14:textId="77777777" w:rsidR="00D02C52" w:rsidRDefault="00D02C52">
            <w:r>
              <w:t>[52]</w:t>
            </w:r>
          </w:p>
        </w:tc>
        <w:tc>
          <w:tcPr>
            <w:tcW w:w="0" w:type="auto"/>
            <w:vAlign w:val="center"/>
            <w:hideMark/>
          </w:tcPr>
          <w:p w14:paraId="35E5B565" w14:textId="77777777" w:rsidR="00D02C52" w:rsidRDefault="00D02C52">
            <w:r>
              <w:t>Azubuike, O., &amp; Adegboye, O. (2024). Culturally tailored health programs in low-resource settings. Global Health Action, 17(1), Article 2304567.</w:t>
            </w:r>
          </w:p>
        </w:tc>
      </w:tr>
      <w:tr w:rsidR="00D02C52" w14:paraId="65FBD4CD" w14:textId="77777777" w:rsidTr="00D02C52">
        <w:trPr>
          <w:tblCellSpacing w:w="15" w:type="dxa"/>
        </w:trPr>
        <w:tc>
          <w:tcPr>
            <w:tcW w:w="0" w:type="auto"/>
            <w:vAlign w:val="center"/>
            <w:hideMark/>
          </w:tcPr>
          <w:p w14:paraId="0AEFD2BE" w14:textId="77777777" w:rsidR="00D02C52" w:rsidRDefault="00D02C52">
            <w:r>
              <w:t>[53]</w:t>
            </w:r>
          </w:p>
        </w:tc>
        <w:tc>
          <w:tcPr>
            <w:tcW w:w="0" w:type="auto"/>
            <w:vAlign w:val="center"/>
            <w:hideMark/>
          </w:tcPr>
          <w:p w14:paraId="2D746963" w14:textId="77777777" w:rsidR="00D02C52" w:rsidRDefault="00D02C52">
            <w:r>
              <w:t>Cassarino-Perez, L., &amp; Cianelli, R. (2025). Implementation science in school health. Health Education &amp; Behavior, 52(1), 89–100.</w:t>
            </w:r>
          </w:p>
        </w:tc>
      </w:tr>
      <w:tr w:rsidR="00D02C52" w14:paraId="202353A0" w14:textId="77777777" w:rsidTr="00D02C52">
        <w:trPr>
          <w:tblCellSpacing w:w="15" w:type="dxa"/>
        </w:trPr>
        <w:tc>
          <w:tcPr>
            <w:tcW w:w="0" w:type="auto"/>
            <w:vAlign w:val="center"/>
            <w:hideMark/>
          </w:tcPr>
          <w:p w14:paraId="091FB483" w14:textId="77777777" w:rsidR="00D02C52" w:rsidRDefault="00D02C52">
            <w:r>
              <w:t>[54]</w:t>
            </w:r>
          </w:p>
        </w:tc>
        <w:tc>
          <w:tcPr>
            <w:tcW w:w="0" w:type="auto"/>
            <w:vAlign w:val="center"/>
            <w:hideMark/>
          </w:tcPr>
          <w:p w14:paraId="205CB89E" w14:textId="77777777" w:rsidR="00D02C52" w:rsidRDefault="00D02C52">
            <w:r>
              <w:t>Lewallen, T. C., et al. (2025). Evidence gap maps in school health promotion. Journal of School Health, 95(4), 345–356.</w:t>
            </w:r>
          </w:p>
        </w:tc>
      </w:tr>
      <w:tr w:rsidR="00D02C52" w14:paraId="7558305C" w14:textId="77777777" w:rsidTr="00D02C52">
        <w:trPr>
          <w:tblCellSpacing w:w="15" w:type="dxa"/>
        </w:trPr>
        <w:tc>
          <w:tcPr>
            <w:tcW w:w="0" w:type="auto"/>
            <w:vAlign w:val="center"/>
            <w:hideMark/>
          </w:tcPr>
          <w:p w14:paraId="064BECE2" w14:textId="77777777" w:rsidR="00D02C52" w:rsidRDefault="00D02C52">
            <w:r>
              <w:t>[55]</w:t>
            </w:r>
          </w:p>
        </w:tc>
        <w:tc>
          <w:tcPr>
            <w:tcW w:w="0" w:type="auto"/>
            <w:vAlign w:val="center"/>
            <w:hideMark/>
          </w:tcPr>
          <w:p w14:paraId="29CB3FB8" w14:textId="77777777" w:rsidR="00D02C52" w:rsidRDefault="00D02C52">
            <w:r>
              <w:t>Champion, K. E., &amp; Newton, N. C. (2025). OurFutures vaping prevention trial results. Addiction, 120(6), 1023–1034.</w:t>
            </w:r>
          </w:p>
        </w:tc>
      </w:tr>
      <w:tr w:rsidR="00D02C52" w14:paraId="1DC98D44" w14:textId="77777777" w:rsidTr="00D02C52">
        <w:trPr>
          <w:tblCellSpacing w:w="15" w:type="dxa"/>
        </w:trPr>
        <w:tc>
          <w:tcPr>
            <w:tcW w:w="0" w:type="auto"/>
            <w:vAlign w:val="center"/>
            <w:hideMark/>
          </w:tcPr>
          <w:p w14:paraId="5344344E" w14:textId="77777777" w:rsidR="00D02C52" w:rsidRDefault="00D02C52">
            <w:r>
              <w:t>[56]</w:t>
            </w:r>
          </w:p>
        </w:tc>
        <w:tc>
          <w:tcPr>
            <w:tcW w:w="0" w:type="auto"/>
            <w:vAlign w:val="center"/>
            <w:hideMark/>
          </w:tcPr>
          <w:p w14:paraId="7A9769FA" w14:textId="77777777" w:rsidR="00D02C52" w:rsidRDefault="00D02C52">
            <w:r>
              <w:t>Various authors. (2025). Technology-infused physical activity interventions review. Springer.</w:t>
            </w:r>
          </w:p>
        </w:tc>
      </w:tr>
      <w:tr w:rsidR="00D02C52" w14:paraId="20C7138E" w14:textId="77777777" w:rsidTr="00D02C52">
        <w:trPr>
          <w:tblCellSpacing w:w="15" w:type="dxa"/>
        </w:trPr>
        <w:tc>
          <w:tcPr>
            <w:tcW w:w="0" w:type="auto"/>
            <w:vAlign w:val="center"/>
            <w:hideMark/>
          </w:tcPr>
          <w:p w14:paraId="583D1D7A" w14:textId="77777777" w:rsidR="00D02C52" w:rsidRDefault="00D02C52">
            <w:r>
              <w:t>[57]</w:t>
            </w:r>
          </w:p>
        </w:tc>
        <w:tc>
          <w:tcPr>
            <w:tcW w:w="0" w:type="auto"/>
            <w:vAlign w:val="center"/>
            <w:hideMark/>
          </w:tcPr>
          <w:p w14:paraId="3BA0BEDE" w14:textId="77777777" w:rsidR="00D02C52" w:rsidRDefault="00D02C52">
            <w:r>
              <w:t>Various authors. (2025). School nutrition education with sustainability focus. MDPI.</w:t>
            </w:r>
          </w:p>
        </w:tc>
      </w:tr>
      <w:tr w:rsidR="00D02C52" w14:paraId="143ACC38" w14:textId="77777777" w:rsidTr="00D02C52">
        <w:trPr>
          <w:tblCellSpacing w:w="15" w:type="dxa"/>
        </w:trPr>
        <w:tc>
          <w:tcPr>
            <w:tcW w:w="0" w:type="auto"/>
            <w:vAlign w:val="center"/>
            <w:hideMark/>
          </w:tcPr>
          <w:p w14:paraId="1045FE50" w14:textId="77777777" w:rsidR="00D02C52" w:rsidRDefault="00D02C52">
            <w:r>
              <w:t>[58]</w:t>
            </w:r>
          </w:p>
        </w:tc>
        <w:tc>
          <w:tcPr>
            <w:tcW w:w="0" w:type="auto"/>
            <w:vAlign w:val="center"/>
            <w:hideMark/>
          </w:tcPr>
          <w:p w14:paraId="683A00BA" w14:textId="77777777" w:rsidR="00D02C52" w:rsidRDefault="00D02C52">
            <w:r>
              <w:t>Various authors. (2025). Parental-involved physical activity and nutrition interventions. Wiley.</w:t>
            </w:r>
          </w:p>
        </w:tc>
      </w:tr>
      <w:tr w:rsidR="00D02C52" w14:paraId="158A858C" w14:textId="77777777" w:rsidTr="00D02C52">
        <w:trPr>
          <w:tblCellSpacing w:w="15" w:type="dxa"/>
        </w:trPr>
        <w:tc>
          <w:tcPr>
            <w:tcW w:w="0" w:type="auto"/>
            <w:vAlign w:val="center"/>
            <w:hideMark/>
          </w:tcPr>
          <w:p w14:paraId="2EB9425B" w14:textId="77777777" w:rsidR="00D02C52" w:rsidRDefault="00D02C52">
            <w:r>
              <w:t>[59]</w:t>
            </w:r>
          </w:p>
        </w:tc>
        <w:tc>
          <w:tcPr>
            <w:tcW w:w="0" w:type="auto"/>
            <w:vAlign w:val="center"/>
            <w:hideMark/>
          </w:tcPr>
          <w:p w14:paraId="143377E0" w14:textId="77777777" w:rsidR="00D02C52" w:rsidRDefault="00D02C52">
            <w:r>
              <w:t>Various authors. (2025). Equity-focused interventions in underserved groups. Cambridge Core.</w:t>
            </w:r>
          </w:p>
        </w:tc>
      </w:tr>
      <w:tr w:rsidR="00D02C52" w14:paraId="0919DA59" w14:textId="77777777" w:rsidTr="00D02C52">
        <w:trPr>
          <w:tblCellSpacing w:w="15" w:type="dxa"/>
        </w:trPr>
        <w:tc>
          <w:tcPr>
            <w:tcW w:w="0" w:type="auto"/>
            <w:vAlign w:val="center"/>
            <w:hideMark/>
          </w:tcPr>
          <w:p w14:paraId="7E321609" w14:textId="77777777" w:rsidR="00D02C52" w:rsidRDefault="00D02C52">
            <w:r>
              <w:t>[60]</w:t>
            </w:r>
          </w:p>
        </w:tc>
        <w:tc>
          <w:tcPr>
            <w:tcW w:w="0" w:type="auto"/>
            <w:vAlign w:val="center"/>
            <w:hideMark/>
          </w:tcPr>
          <w:p w14:paraId="628450BA" w14:textId="77777777" w:rsidR="00D02C52" w:rsidRDefault="00D02C52">
            <w:r>
              <w:t>Various authors. (2024–2025). Cultural adaptation in low- and middle-income countries. PMC.</w:t>
            </w:r>
          </w:p>
        </w:tc>
      </w:tr>
      <w:tr w:rsidR="00D02C52" w14:paraId="7FF20079" w14:textId="77777777" w:rsidTr="00D02C52">
        <w:trPr>
          <w:tblCellSpacing w:w="15" w:type="dxa"/>
        </w:trPr>
        <w:tc>
          <w:tcPr>
            <w:tcW w:w="0" w:type="auto"/>
            <w:vAlign w:val="center"/>
            <w:hideMark/>
          </w:tcPr>
          <w:p w14:paraId="3FDA3597" w14:textId="77777777" w:rsidR="00D02C52" w:rsidRDefault="00D02C52">
            <w:r>
              <w:t>[61]</w:t>
            </w:r>
          </w:p>
        </w:tc>
        <w:tc>
          <w:tcPr>
            <w:tcW w:w="0" w:type="auto"/>
            <w:vAlign w:val="center"/>
            <w:hideMark/>
          </w:tcPr>
          <w:p w14:paraId="3146B09B" w14:textId="77777777" w:rsidR="00D02C52" w:rsidRDefault="00D02C52">
            <w:r>
              <w:t>Various authors. (2025). Planetary health education trends in schools. PubMed.</w:t>
            </w:r>
          </w:p>
        </w:tc>
      </w:tr>
      <w:tr w:rsidR="00D02C52" w14:paraId="7ADE8647" w14:textId="77777777" w:rsidTr="00D02C52">
        <w:trPr>
          <w:tblCellSpacing w:w="15" w:type="dxa"/>
        </w:trPr>
        <w:tc>
          <w:tcPr>
            <w:tcW w:w="0" w:type="auto"/>
            <w:vAlign w:val="center"/>
            <w:hideMark/>
          </w:tcPr>
          <w:p w14:paraId="02091DD1" w14:textId="77777777" w:rsidR="00D02C52" w:rsidRDefault="00D02C52">
            <w:r>
              <w:t>[62]</w:t>
            </w:r>
          </w:p>
        </w:tc>
        <w:tc>
          <w:tcPr>
            <w:tcW w:w="0" w:type="auto"/>
            <w:vAlign w:val="center"/>
            <w:hideMark/>
          </w:tcPr>
          <w:p w14:paraId="32C99825" w14:textId="77777777" w:rsidR="00D02C52" w:rsidRDefault="00D02C52">
            <w:r>
              <w:t xml:space="preserve">Planetary Health Alliance. (2025). Planetary health education framework. </w:t>
            </w:r>
            <w:hyperlink r:id="rId45" w:history="1">
              <w:r w:rsidRPr="00D02C52">
                <w:t>https://planetaryhealthalliance.org</w:t>
              </w:r>
            </w:hyperlink>
          </w:p>
        </w:tc>
      </w:tr>
      <w:tr w:rsidR="00D02C52" w14:paraId="73B11BEE" w14:textId="77777777" w:rsidTr="00D02C52">
        <w:trPr>
          <w:tblCellSpacing w:w="15" w:type="dxa"/>
        </w:trPr>
        <w:tc>
          <w:tcPr>
            <w:tcW w:w="0" w:type="auto"/>
            <w:vAlign w:val="center"/>
            <w:hideMark/>
          </w:tcPr>
          <w:p w14:paraId="45D24389" w14:textId="77777777" w:rsidR="00D02C52" w:rsidRDefault="00D02C52">
            <w:r>
              <w:t>[63]</w:t>
            </w:r>
          </w:p>
        </w:tc>
        <w:tc>
          <w:tcPr>
            <w:tcW w:w="0" w:type="auto"/>
            <w:vAlign w:val="center"/>
            <w:hideMark/>
          </w:tcPr>
          <w:p w14:paraId="2E75AE6B" w14:textId="77777777" w:rsidR="00D02C52" w:rsidRDefault="00D02C52">
            <w:r>
              <w:t>Various authors. (2025). Planetary health pilot interventions and eco-anxiety. PubMed.</w:t>
            </w:r>
          </w:p>
        </w:tc>
      </w:tr>
      <w:tr w:rsidR="00D02C52" w14:paraId="67C73FD1" w14:textId="77777777" w:rsidTr="00D02C52">
        <w:trPr>
          <w:tblCellSpacing w:w="15" w:type="dxa"/>
        </w:trPr>
        <w:tc>
          <w:tcPr>
            <w:tcW w:w="0" w:type="auto"/>
            <w:vAlign w:val="center"/>
            <w:hideMark/>
          </w:tcPr>
          <w:p w14:paraId="6C896A3A" w14:textId="77777777" w:rsidR="00D02C52" w:rsidRDefault="00D02C52">
            <w:r>
              <w:t>[64]</w:t>
            </w:r>
          </w:p>
        </w:tc>
        <w:tc>
          <w:tcPr>
            <w:tcW w:w="0" w:type="auto"/>
            <w:vAlign w:val="center"/>
            <w:hideMark/>
          </w:tcPr>
          <w:p w14:paraId="6EBD1B25" w14:textId="77777777" w:rsidR="00D02C52" w:rsidRDefault="00D02C52">
            <w:r>
              <w:t>Various authors. (2025). Implementation barriers and facilitators in school health. PubMed.</w:t>
            </w:r>
          </w:p>
        </w:tc>
      </w:tr>
      <w:tr w:rsidR="00D02C52" w14:paraId="5F702A1F" w14:textId="77777777" w:rsidTr="00D02C52">
        <w:trPr>
          <w:tblCellSpacing w:w="15" w:type="dxa"/>
        </w:trPr>
        <w:tc>
          <w:tcPr>
            <w:tcW w:w="0" w:type="auto"/>
            <w:vAlign w:val="center"/>
            <w:hideMark/>
          </w:tcPr>
          <w:p w14:paraId="61E82BFC" w14:textId="77777777" w:rsidR="00D02C52" w:rsidRDefault="00D02C52">
            <w:r>
              <w:t>[65]</w:t>
            </w:r>
          </w:p>
        </w:tc>
        <w:tc>
          <w:tcPr>
            <w:tcW w:w="0" w:type="auto"/>
            <w:vAlign w:val="center"/>
            <w:hideMark/>
          </w:tcPr>
          <w:p w14:paraId="22EC5471" w14:textId="77777777" w:rsidR="00D02C52" w:rsidRDefault="00D02C52">
            <w:r>
              <w:t>Various authors. (2025). Intersectional approaches in school health education. PubMed.</w:t>
            </w:r>
          </w:p>
        </w:tc>
      </w:tr>
      <w:tr w:rsidR="00D02C52" w14:paraId="050B7E0C" w14:textId="77777777" w:rsidTr="00D02C52">
        <w:trPr>
          <w:tblCellSpacing w:w="15" w:type="dxa"/>
        </w:trPr>
        <w:tc>
          <w:tcPr>
            <w:tcW w:w="0" w:type="auto"/>
            <w:vAlign w:val="center"/>
            <w:hideMark/>
          </w:tcPr>
          <w:p w14:paraId="6D0CD481" w14:textId="77777777" w:rsidR="00D02C52" w:rsidRDefault="00D02C52">
            <w:r>
              <w:t>[66]</w:t>
            </w:r>
          </w:p>
        </w:tc>
        <w:tc>
          <w:tcPr>
            <w:tcW w:w="0" w:type="auto"/>
            <w:vAlign w:val="center"/>
            <w:hideMark/>
          </w:tcPr>
          <w:p w14:paraId="204152A0" w14:textId="77777777" w:rsidR="00D02C52" w:rsidRDefault="00D02C52">
            <w:r>
              <w:t>Various authors. (2025). Challenges and advances in global school health promotion. PMC.</w:t>
            </w:r>
          </w:p>
        </w:tc>
      </w:tr>
      <w:tr w:rsidR="00D02C52" w14:paraId="4C67D30C" w14:textId="77777777" w:rsidTr="00D02C52">
        <w:trPr>
          <w:tblCellSpacing w:w="15" w:type="dxa"/>
        </w:trPr>
        <w:tc>
          <w:tcPr>
            <w:tcW w:w="0" w:type="auto"/>
            <w:vAlign w:val="center"/>
            <w:hideMark/>
          </w:tcPr>
          <w:p w14:paraId="24EF557F" w14:textId="77777777" w:rsidR="00D02C52" w:rsidRDefault="00D02C52">
            <w:r>
              <w:t>[67]</w:t>
            </w:r>
          </w:p>
        </w:tc>
        <w:tc>
          <w:tcPr>
            <w:tcW w:w="0" w:type="auto"/>
            <w:vAlign w:val="center"/>
            <w:hideMark/>
          </w:tcPr>
          <w:p w14:paraId="0CAFB963" w14:textId="77777777" w:rsidR="00D02C52" w:rsidRDefault="00D02C52">
            <w:r>
              <w:t>Various authors. (2025). Meta-synthesis on international school health studies. ERIC.</w:t>
            </w:r>
          </w:p>
        </w:tc>
      </w:tr>
      <w:tr w:rsidR="00D02C52" w14:paraId="2F196392" w14:textId="77777777" w:rsidTr="00D02C52">
        <w:trPr>
          <w:tblCellSpacing w:w="15" w:type="dxa"/>
        </w:trPr>
        <w:tc>
          <w:tcPr>
            <w:tcW w:w="0" w:type="auto"/>
            <w:vAlign w:val="center"/>
            <w:hideMark/>
          </w:tcPr>
          <w:p w14:paraId="46184328" w14:textId="77777777" w:rsidR="00D02C52" w:rsidRDefault="00D02C52">
            <w:r>
              <w:t>[68]</w:t>
            </w:r>
          </w:p>
        </w:tc>
        <w:tc>
          <w:tcPr>
            <w:tcW w:w="0" w:type="auto"/>
            <w:vAlign w:val="center"/>
            <w:hideMark/>
          </w:tcPr>
          <w:p w14:paraId="2BD54088" w14:textId="77777777" w:rsidR="00D02C52" w:rsidRDefault="00D02C52">
            <w:r>
              <w:t>Various authors. (2025). Effective strategies for health education in schools. ResearchGate.</w:t>
            </w:r>
          </w:p>
        </w:tc>
      </w:tr>
      <w:tr w:rsidR="00D02C52" w14:paraId="20AFDBD5" w14:textId="77777777" w:rsidTr="00D02C52">
        <w:trPr>
          <w:tblCellSpacing w:w="15" w:type="dxa"/>
        </w:trPr>
        <w:tc>
          <w:tcPr>
            <w:tcW w:w="0" w:type="auto"/>
            <w:vAlign w:val="center"/>
            <w:hideMark/>
          </w:tcPr>
          <w:p w14:paraId="7C0D9A6C" w14:textId="77777777" w:rsidR="00D02C52" w:rsidRDefault="00D02C52">
            <w:r>
              <w:t>[69]</w:t>
            </w:r>
          </w:p>
        </w:tc>
        <w:tc>
          <w:tcPr>
            <w:tcW w:w="0" w:type="auto"/>
            <w:vAlign w:val="center"/>
            <w:hideMark/>
          </w:tcPr>
          <w:p w14:paraId="30EA1EE4" w14:textId="77777777" w:rsidR="00D02C52" w:rsidRDefault="00D02C52">
            <w:r>
              <w:t>Various authors. (2025). Whole-school mental health promotion: Global policy review. Journal of Adolescent Health.</w:t>
            </w:r>
          </w:p>
        </w:tc>
      </w:tr>
      <w:tr w:rsidR="00D02C52" w14:paraId="4ADD60CB" w14:textId="77777777" w:rsidTr="00D02C52">
        <w:trPr>
          <w:tblCellSpacing w:w="15" w:type="dxa"/>
        </w:trPr>
        <w:tc>
          <w:tcPr>
            <w:tcW w:w="0" w:type="auto"/>
            <w:vAlign w:val="center"/>
            <w:hideMark/>
          </w:tcPr>
          <w:p w14:paraId="15914D67" w14:textId="77777777" w:rsidR="00D02C52" w:rsidRDefault="00D02C52">
            <w:r>
              <w:t>[70]</w:t>
            </w:r>
          </w:p>
        </w:tc>
        <w:tc>
          <w:tcPr>
            <w:tcW w:w="0" w:type="auto"/>
            <w:vAlign w:val="center"/>
            <w:hideMark/>
          </w:tcPr>
          <w:p w14:paraId="025325CA" w14:textId="77777777" w:rsidR="00D02C52" w:rsidRDefault="00D02C52">
            <w:r>
              <w:t>Various authors. (2025). Blended approaches for sustainable behavior change in schools. The Lancet.</w:t>
            </w:r>
          </w:p>
        </w:tc>
      </w:tr>
    </w:tbl>
    <w:p w14:paraId="2C84AC49" w14:textId="77777777" w:rsidR="000B200C" w:rsidRDefault="000B200C" w:rsidP="00D02C52">
      <w:pPr>
        <w:sectPr w:rsidR="000B200C" w:rsidSect="00082716">
          <w:headerReference w:type="default" r:id="rId46"/>
          <w:footerReference w:type="even" r:id="rId47"/>
          <w:footerReference w:type="default" r:id="rId48"/>
          <w:type w:val="continuous"/>
          <w:pgSz w:w="11907" w:h="16840"/>
          <w:pgMar w:top="1530" w:right="1418" w:bottom="1418" w:left="1134" w:header="709" w:footer="709" w:gutter="0"/>
          <w:cols w:space="720"/>
        </w:sectPr>
      </w:pPr>
    </w:p>
    <w:p w14:paraId="78D22457" w14:textId="66C7886A" w:rsidR="0098445B" w:rsidRDefault="0098445B" w:rsidP="00D02C52"/>
    <w:sectPr w:rsidR="0098445B"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C4AAC" w14:textId="77777777" w:rsidR="0004791B" w:rsidRDefault="0004791B">
      <w:r>
        <w:separator/>
      </w:r>
    </w:p>
  </w:endnote>
  <w:endnote w:type="continuationSeparator" w:id="0">
    <w:p w14:paraId="62B4FB4E" w14:textId="77777777" w:rsidR="0004791B" w:rsidRDefault="00047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panose1 w:val="00000400000000000000"/>
    <w:charset w:val="B2"/>
    <w:family w:val="auto"/>
    <w:pitch w:val="variable"/>
    <w:sig w:usb0="00002001" w:usb1="80000000" w:usb2="00000008" w:usb3="00000000" w:csb0="00000040" w:csb1="00000000"/>
  </w:font>
  <w:font w:name="Lotus">
    <w:altName w:val="Arial"/>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92116" w14:textId="48577AEF"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2F6FBE">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BBD21" w14:textId="77777777" w:rsidR="0004791B" w:rsidRDefault="0004791B" w:rsidP="0010114F">
      <w:pPr>
        <w:bidi/>
      </w:pPr>
      <w:r>
        <w:separator/>
      </w:r>
    </w:p>
  </w:footnote>
  <w:footnote w:type="continuationSeparator" w:id="0">
    <w:p w14:paraId="0C5DA1DC" w14:textId="77777777" w:rsidR="0004791B" w:rsidRDefault="00047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B0E6D" w14:textId="07F36AE0" w:rsidR="00931BA1" w:rsidRDefault="008A6A64" w:rsidP="00AA30C4">
    <w:pPr>
      <w:pStyle w:val="Header"/>
    </w:pPr>
    <w:r w:rsidRPr="008A6A64">
      <w:rPr>
        <w:noProof/>
        <w:rtl/>
      </w:rPr>
      <w:drawing>
        <wp:anchor distT="0" distB="0" distL="114300" distR="114300" simplePos="0" relativeHeight="251658240" behindDoc="1" locked="0" layoutInCell="1" allowOverlap="1" wp14:anchorId="2057D1F1" wp14:editId="7895E503">
          <wp:simplePos x="0" y="0"/>
          <wp:positionH relativeFrom="page">
            <wp:align>right</wp:align>
          </wp:positionH>
          <wp:positionV relativeFrom="paragraph">
            <wp:posOffset>-221615</wp:posOffset>
          </wp:positionV>
          <wp:extent cx="5940425" cy="771525"/>
          <wp:effectExtent l="0" t="0" r="3175" b="9525"/>
          <wp:wrapTight wrapText="bothSides">
            <wp:wrapPolygon edited="0">
              <wp:start x="0" y="0"/>
              <wp:lineTo x="0" y="21333"/>
              <wp:lineTo x="21542" y="21333"/>
              <wp:lineTo x="21542" y="0"/>
              <wp:lineTo x="0" y="0"/>
            </wp:wrapPolygon>
          </wp:wrapTight>
          <wp:docPr id="30261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074" name=""/>
                  <pic:cNvPicPr/>
                </pic:nvPicPr>
                <pic:blipFill>
                  <a:blip r:embed="rId1">
                    <a:extLst>
                      <a:ext uri="{28A0092B-C50C-407E-A947-70E740481C1C}">
                        <a14:useLocalDpi xmlns:a14="http://schemas.microsoft.com/office/drawing/2010/main" val="0"/>
                      </a:ext>
                    </a:extLst>
                  </a:blip>
                  <a:stretch>
                    <a:fillRect/>
                  </a:stretch>
                </pic:blipFill>
                <pic:spPr>
                  <a:xfrm>
                    <a:off x="0" y="0"/>
                    <a:ext cx="5940425" cy="771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120500"/>
    <w:multiLevelType w:val="multilevel"/>
    <w:tmpl w:val="E2849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0411430">
    <w:abstractNumId w:val="6"/>
  </w:num>
  <w:num w:numId="2" w16cid:durableId="1736972300">
    <w:abstractNumId w:val="4"/>
  </w:num>
  <w:num w:numId="3" w16cid:durableId="897127909">
    <w:abstractNumId w:val="15"/>
  </w:num>
  <w:num w:numId="4" w16cid:durableId="728311714">
    <w:abstractNumId w:val="0"/>
  </w:num>
  <w:num w:numId="5" w16cid:durableId="701321175">
    <w:abstractNumId w:val="5"/>
  </w:num>
  <w:num w:numId="6" w16cid:durableId="43144089">
    <w:abstractNumId w:val="13"/>
  </w:num>
  <w:num w:numId="7" w16cid:durableId="1362121432">
    <w:abstractNumId w:val="1"/>
  </w:num>
  <w:num w:numId="8" w16cid:durableId="1541504793">
    <w:abstractNumId w:val="9"/>
  </w:num>
  <w:num w:numId="9" w16cid:durableId="1969123017">
    <w:abstractNumId w:val="12"/>
  </w:num>
  <w:num w:numId="10" w16cid:durableId="209731956">
    <w:abstractNumId w:val="2"/>
  </w:num>
  <w:num w:numId="11" w16cid:durableId="1435202018">
    <w:abstractNumId w:val="8"/>
  </w:num>
  <w:num w:numId="12" w16cid:durableId="351492835">
    <w:abstractNumId w:val="3"/>
  </w:num>
  <w:num w:numId="13" w16cid:durableId="477263690">
    <w:abstractNumId w:val="11"/>
  </w:num>
  <w:num w:numId="14" w16cid:durableId="1045790232">
    <w:abstractNumId w:val="14"/>
  </w:num>
  <w:num w:numId="15" w16cid:durableId="660936591">
    <w:abstractNumId w:val="10"/>
  </w:num>
  <w:num w:numId="16" w16cid:durableId="2631929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savePreviewPicture/>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5A8A"/>
    <w:rsid w:val="0000762C"/>
    <w:rsid w:val="00012964"/>
    <w:rsid w:val="00013D1C"/>
    <w:rsid w:val="00013D8F"/>
    <w:rsid w:val="000173D0"/>
    <w:rsid w:val="000223BA"/>
    <w:rsid w:val="00023E17"/>
    <w:rsid w:val="0002405D"/>
    <w:rsid w:val="0002571C"/>
    <w:rsid w:val="000304FB"/>
    <w:rsid w:val="00031EC5"/>
    <w:rsid w:val="000329D0"/>
    <w:rsid w:val="00035264"/>
    <w:rsid w:val="00040DAF"/>
    <w:rsid w:val="00046639"/>
    <w:rsid w:val="000474F1"/>
    <w:rsid w:val="0004791B"/>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9CD"/>
    <w:rsid w:val="001D3775"/>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24DD1"/>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48C2"/>
    <w:rsid w:val="004F672C"/>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3E5A"/>
    <w:rsid w:val="006C6FA5"/>
    <w:rsid w:val="006C7784"/>
    <w:rsid w:val="006D035D"/>
    <w:rsid w:val="006D106C"/>
    <w:rsid w:val="006D18F6"/>
    <w:rsid w:val="006D62BD"/>
    <w:rsid w:val="006D65F1"/>
    <w:rsid w:val="006D6DCA"/>
    <w:rsid w:val="006E0D01"/>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2202"/>
    <w:rsid w:val="00892489"/>
    <w:rsid w:val="008939E8"/>
    <w:rsid w:val="008947ED"/>
    <w:rsid w:val="00896A1F"/>
    <w:rsid w:val="008A0D73"/>
    <w:rsid w:val="008A2CF0"/>
    <w:rsid w:val="008A6A64"/>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6AAF"/>
    <w:rsid w:val="00A26D40"/>
    <w:rsid w:val="00A30CE2"/>
    <w:rsid w:val="00A405D7"/>
    <w:rsid w:val="00A41B25"/>
    <w:rsid w:val="00A42B1C"/>
    <w:rsid w:val="00A434F8"/>
    <w:rsid w:val="00A456BB"/>
    <w:rsid w:val="00A475FE"/>
    <w:rsid w:val="00A47F51"/>
    <w:rsid w:val="00A502C1"/>
    <w:rsid w:val="00A509D4"/>
    <w:rsid w:val="00A51D6F"/>
    <w:rsid w:val="00A57167"/>
    <w:rsid w:val="00A61E53"/>
    <w:rsid w:val="00A63A1E"/>
    <w:rsid w:val="00A669D2"/>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37AC"/>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2C52"/>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5D61"/>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uiPriority w:val="22"/>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 w:type="paragraph" w:styleId="NormalWeb">
    <w:name w:val="Normal (Web)"/>
    <w:basedOn w:val="Normal"/>
    <w:uiPriority w:val="99"/>
    <w:unhideWhenUsed/>
    <w:rsid w:val="001D3775"/>
    <w:pPr>
      <w:spacing w:before="100" w:beforeAutospacing="1" w:after="100" w:afterAutospacing="1"/>
    </w:pPr>
    <w:rPr>
      <w:rFonts w:cs="Times New Roman"/>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1434">
      <w:bodyDiv w:val="1"/>
      <w:marLeft w:val="0"/>
      <w:marRight w:val="0"/>
      <w:marTop w:val="0"/>
      <w:marBottom w:val="0"/>
      <w:divBdr>
        <w:top w:val="none" w:sz="0" w:space="0" w:color="auto"/>
        <w:left w:val="none" w:sz="0" w:space="0" w:color="auto"/>
        <w:bottom w:val="none" w:sz="0" w:space="0" w:color="auto"/>
        <w:right w:val="none" w:sz="0" w:space="0" w:color="auto"/>
      </w:divBdr>
      <w:divsChild>
        <w:div w:id="196941168">
          <w:marLeft w:val="0"/>
          <w:marRight w:val="0"/>
          <w:marTop w:val="0"/>
          <w:marBottom w:val="0"/>
          <w:divBdr>
            <w:top w:val="none" w:sz="0" w:space="0" w:color="auto"/>
            <w:left w:val="none" w:sz="0" w:space="0" w:color="auto"/>
            <w:bottom w:val="none" w:sz="0" w:space="0" w:color="auto"/>
            <w:right w:val="none" w:sz="0" w:space="0" w:color="auto"/>
          </w:divBdr>
          <w:divsChild>
            <w:div w:id="1125192882">
              <w:marLeft w:val="0"/>
              <w:marRight w:val="0"/>
              <w:marTop w:val="0"/>
              <w:marBottom w:val="0"/>
              <w:divBdr>
                <w:top w:val="none" w:sz="0" w:space="0" w:color="auto"/>
                <w:left w:val="none" w:sz="0" w:space="0" w:color="auto"/>
                <w:bottom w:val="none" w:sz="0" w:space="0" w:color="auto"/>
                <w:right w:val="none" w:sz="0" w:space="0" w:color="auto"/>
              </w:divBdr>
              <w:divsChild>
                <w:div w:id="127549109">
                  <w:marLeft w:val="0"/>
                  <w:marRight w:val="0"/>
                  <w:marTop w:val="0"/>
                  <w:marBottom w:val="0"/>
                  <w:divBdr>
                    <w:top w:val="none" w:sz="0" w:space="0" w:color="auto"/>
                    <w:left w:val="none" w:sz="0" w:space="0" w:color="auto"/>
                    <w:bottom w:val="none" w:sz="0" w:space="0" w:color="auto"/>
                    <w:right w:val="none" w:sz="0" w:space="0" w:color="auto"/>
                  </w:divBdr>
                  <w:divsChild>
                    <w:div w:id="2098090890">
                      <w:marLeft w:val="0"/>
                      <w:marRight w:val="0"/>
                      <w:marTop w:val="0"/>
                      <w:marBottom w:val="0"/>
                      <w:divBdr>
                        <w:top w:val="none" w:sz="0" w:space="0" w:color="auto"/>
                        <w:left w:val="none" w:sz="0" w:space="0" w:color="auto"/>
                        <w:bottom w:val="none" w:sz="0" w:space="0" w:color="auto"/>
                        <w:right w:val="none" w:sz="0" w:space="0" w:color="auto"/>
                      </w:divBdr>
                      <w:divsChild>
                        <w:div w:id="1956279948">
                          <w:marLeft w:val="0"/>
                          <w:marRight w:val="0"/>
                          <w:marTop w:val="0"/>
                          <w:marBottom w:val="0"/>
                          <w:divBdr>
                            <w:top w:val="none" w:sz="0" w:space="0" w:color="auto"/>
                            <w:left w:val="none" w:sz="0" w:space="0" w:color="auto"/>
                            <w:bottom w:val="none" w:sz="0" w:space="0" w:color="auto"/>
                            <w:right w:val="none" w:sz="0" w:space="0" w:color="auto"/>
                          </w:divBdr>
                          <w:divsChild>
                            <w:div w:id="719207027">
                              <w:marLeft w:val="0"/>
                              <w:marRight w:val="0"/>
                              <w:marTop w:val="0"/>
                              <w:marBottom w:val="0"/>
                              <w:divBdr>
                                <w:top w:val="none" w:sz="0" w:space="0" w:color="auto"/>
                                <w:left w:val="none" w:sz="0" w:space="0" w:color="auto"/>
                                <w:bottom w:val="none" w:sz="0" w:space="0" w:color="auto"/>
                                <w:right w:val="none" w:sz="0" w:space="0" w:color="auto"/>
                              </w:divBdr>
                              <w:divsChild>
                                <w:div w:id="38865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3726309">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who.int/activities/investing-in-school-health" TargetMode="External"/><Relationship Id="rId18" Type="http://schemas.openxmlformats.org/officeDocument/2006/relationships/hyperlink" Target="https://doi.org/10.1080/19325037.2024.2422073" TargetMode="External"/><Relationship Id="rId26" Type="http://schemas.openxmlformats.org/officeDocument/2006/relationships/hyperlink" Target="https://doi.org/10.3390/app15158564" TargetMode="External"/><Relationship Id="rId39" Type="http://schemas.openxmlformats.org/officeDocument/2006/relationships/hyperlink" Target="https://doi.org/10.1016/S2542-5196(24)00229-8" TargetMode="External"/><Relationship Id="rId21" Type="http://schemas.openxmlformats.org/officeDocument/2006/relationships/hyperlink" Target="https://doi.org/10.1016/S2468-2667(25)00145-8" TargetMode="External"/><Relationship Id="rId34" Type="http://schemas.openxmlformats.org/officeDocument/2006/relationships/hyperlink" Target="https://share-netinternational.org/wp-content/uploads/2024/04/385849eng.pdf" TargetMode="External"/><Relationship Id="rId42" Type="http://schemas.openxmlformats.org/officeDocument/2006/relationships/hyperlink" Target="https://doi.org/10.1016/S2542-5196(21)00278-3"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177/21582440251327445" TargetMode="External"/><Relationship Id="rId29" Type="http://schemas.openxmlformats.org/officeDocument/2006/relationships/hyperlink" Target="https://doi.org/10.1371/journal.pone.0288135" TargetMode="External"/><Relationship Id="rId11" Type="http://schemas.openxmlformats.org/officeDocument/2006/relationships/hyperlink" Target="https://www.who.int/westernpacific/newsroom/feature-stories/item/strengthening-health-promoting-schools-in-the-western-pacific-region" TargetMode="External"/><Relationship Id="rId24" Type="http://schemas.openxmlformats.org/officeDocument/2006/relationships/hyperlink" Target="https://www.cdc.gov/assessing-improving-school-health/nutrition-pa/index.html" TargetMode="External"/><Relationship Id="rId32" Type="http://schemas.openxmlformats.org/officeDocument/2006/relationships/hyperlink" Target="https://doi.org/10.1016/j.childyouth.2024.107485" TargetMode="External"/><Relationship Id="rId37" Type="http://schemas.openxmlformats.org/officeDocument/2006/relationships/hyperlink" Target="https://planetaryhealthalliance.org/for-educators/educating-children-and-teens/" TargetMode="External"/><Relationship Id="rId40" Type="http://schemas.openxmlformats.org/officeDocument/2006/relationships/hyperlink" Target="https://www.apa.org/monitor/2025/06/youth-climate-anxiety-action" TargetMode="External"/><Relationship Id="rId45" Type="http://schemas.openxmlformats.org/officeDocument/2006/relationships/hyperlink" Target="https://planetaryhealthalliance.org/" TargetMode="External"/><Relationship Id="rId5" Type="http://schemas.openxmlformats.org/officeDocument/2006/relationships/webSettings" Target="webSettings.xml"/><Relationship Id="rId15" Type="http://schemas.openxmlformats.org/officeDocument/2006/relationships/hyperlink" Target="https://pmc.ncbi.nlm.nih.gov/articles/PMC12127306/" TargetMode="External"/><Relationship Id="rId23" Type="http://schemas.openxmlformats.org/officeDocument/2006/relationships/hyperlink" Target="https://doi.org/10.1016/j.puhe.2025.2458" TargetMode="External"/><Relationship Id="rId28" Type="http://schemas.openxmlformats.org/officeDocument/2006/relationships/hyperlink" Target="https://doi.org/10.1111/josh.13371" TargetMode="External"/><Relationship Id="rId36" Type="http://schemas.openxmlformats.org/officeDocument/2006/relationships/hyperlink" Target="https://doi.org/10.1016/j.jognn.2023.00289" TargetMode="External"/><Relationship Id="rId49" Type="http://schemas.openxmlformats.org/officeDocument/2006/relationships/fontTable" Target="fontTable.xml"/><Relationship Id="rId10" Type="http://schemas.openxmlformats.org/officeDocument/2006/relationships/hyperlink" Target="https://www.who.int/initiatives/making-every-school-a-health-promoting-school" TargetMode="External"/><Relationship Id="rId19" Type="http://schemas.openxmlformats.org/officeDocument/2006/relationships/hyperlink" Target="https://doi.org/10.1007/s10964-025-02135-6" TargetMode="External"/><Relationship Id="rId31" Type="http://schemas.openxmlformats.org/officeDocument/2006/relationships/hyperlink" Target="https://pmc.ncbi.nlm.nih.gov/articles/PMC10530760/" TargetMode="External"/><Relationship Id="rId44" Type="http://schemas.openxmlformats.org/officeDocument/2006/relationships/hyperlink" Target="https://www.cdc.gov/healthyyouth/data/yrbs/index.htm" TargetMode="External"/><Relationship Id="rId4" Type="http://schemas.openxmlformats.org/officeDocument/2006/relationships/settings" Target="settings.xml"/><Relationship Id="rId9" Type="http://schemas.openxmlformats.org/officeDocument/2006/relationships/hyperlink" Target="https://www.who.int/health-topics/health-promoting-schools" TargetMode="External"/><Relationship Id="rId14" Type="http://schemas.openxmlformats.org/officeDocument/2006/relationships/hyperlink" Target="https://doi.org/10.3389/fpsyt.2025.1594658" TargetMode="External"/><Relationship Id="rId22" Type="http://schemas.openxmlformats.org/officeDocument/2006/relationships/hyperlink" Target="https://doi.org/10.1093/heapro/daaf085" TargetMode="External"/><Relationship Id="rId27" Type="http://schemas.openxmlformats.org/officeDocument/2006/relationships/hyperlink" Target="https://www.thecommunityguide.org/findings/obesity-prevention-control-meal-fruit-vegetable-snack-interventions-combined-physical-activity-interventions-schools.html" TargetMode="External"/><Relationship Id="rId30" Type="http://schemas.openxmlformats.org/officeDocument/2006/relationships/hyperlink" Target="https://doi.org/10.1177/15598276251338019" TargetMode="External"/><Relationship Id="rId35" Type="http://schemas.openxmlformats.org/officeDocument/2006/relationships/hyperlink" Target="https://doi.org/10.7759/cureus.391232" TargetMode="External"/><Relationship Id="rId43" Type="http://schemas.openxmlformats.org/officeDocument/2006/relationships/hyperlink" Target="https://www.who.int/southeastasia/activities/health-promoting-school" TargetMode="External"/><Relationship Id="rId48" Type="http://schemas.openxmlformats.org/officeDocument/2006/relationships/footer" Target="footer2.xml"/><Relationship Id="rId8" Type="http://schemas.openxmlformats.org/officeDocument/2006/relationships/hyperlink" Target="https://www.who.int/publications/i/item/9789240093737" TargetMode="External"/><Relationship Id="rId3" Type="http://schemas.openxmlformats.org/officeDocument/2006/relationships/styles" Target="styles.xml"/><Relationship Id="rId12" Type="http://schemas.openxmlformats.org/officeDocument/2006/relationships/hyperlink" Target="https://www.who.int/teams/health-promotion/enhanced-wellbeing/health-promoting-schools" TargetMode="External"/><Relationship Id="rId17" Type="http://schemas.openxmlformats.org/officeDocument/2006/relationships/hyperlink" Target="https://doi.org/10.1038/s41598-024-56682-2" TargetMode="External"/><Relationship Id="rId25" Type="http://schemas.openxmlformats.org/officeDocument/2006/relationships/hyperlink" Target="https://pmc.ncbi.nlm.nih.gov/articles/PMC11975572/" TargetMode="External"/><Relationship Id="rId33" Type="http://schemas.openxmlformats.org/officeDocument/2006/relationships/hyperlink" Target="https://doi.org/10.1016/j.jadohealth.2025.00285" TargetMode="External"/><Relationship Id="rId38" Type="http://schemas.openxmlformats.org/officeDocument/2006/relationships/hyperlink" Target="https://yaleclimateconnections.org/2025/01/young-people-are-suffering-from-climate-anxiety-heres-how-to-help/" TargetMode="External"/><Relationship Id="rId46" Type="http://schemas.openxmlformats.org/officeDocument/2006/relationships/header" Target="header1.xml"/><Relationship Id="rId20" Type="http://schemas.openxmlformats.org/officeDocument/2006/relationships/hyperlink" Target="https://doi.org/10.1111/inm.13494" TargetMode="External"/><Relationship Id="rId41" Type="http://schemas.openxmlformats.org/officeDocument/2006/relationships/hyperlink" Target="https://doi.org/10.1001/jamanetworkopen.2025.38768"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5741</Words>
  <Characters>32725</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38390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armin hatami rad</cp:lastModifiedBy>
  <cp:revision>2</cp:revision>
  <cp:lastPrinted>2007-05-16T03:26:00Z</cp:lastPrinted>
  <dcterms:created xsi:type="dcterms:W3CDTF">2025-12-30T10:43:00Z</dcterms:created>
  <dcterms:modified xsi:type="dcterms:W3CDTF">2025-12-30T10:43:00Z</dcterms:modified>
</cp:coreProperties>
</file>